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EE7" w:rsidRPr="00AA3FA5" w:rsidRDefault="00C10665" w:rsidP="002853E5">
      <w:pPr>
        <w:jc w:val="center"/>
        <w:rPr>
          <w:rFonts w:ascii="Times New Roman" w:hAnsi="Times New Roman" w:cs="Times New Roman"/>
          <w:sz w:val="24"/>
          <w:szCs w:val="24"/>
        </w:rPr>
      </w:pPr>
    </w:p>
    <w:p w:rsidR="004B5FB9" w:rsidRPr="00AA3FA5" w:rsidRDefault="00C10665" w:rsidP="002853E5">
      <w:pPr>
        <w:jc w:val="center"/>
        <w:rPr>
          <w:rFonts w:ascii="Times New Roman" w:hAnsi="Times New Roman" w:cs="Times New Roman"/>
          <w:sz w:val="24"/>
          <w:szCs w:val="24"/>
        </w:rPr>
      </w:pPr>
    </w:p>
    <w:p w:rsidR="00122FA1" w:rsidRPr="00AA3FA5" w:rsidRDefault="00C10665" w:rsidP="002853E5">
      <w:pPr>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3402"/>
      </w:tblGrid>
      <w:tr w:rsidR="00B96510" w:rsidTr="00456702">
        <w:tc>
          <w:tcPr>
            <w:tcW w:w="2235" w:type="dxa"/>
          </w:tcPr>
          <w:p w:rsidR="00B12680" w:rsidRPr="00AA3FA5" w:rsidRDefault="002914D6" w:rsidP="00D413BB">
            <w:pPr>
              <w:rPr>
                <w:rFonts w:ascii="Times New Roman" w:hAnsi="Times New Roman" w:cs="Times New Roman"/>
                <w:sz w:val="24"/>
                <w:szCs w:val="24"/>
              </w:rPr>
            </w:pPr>
            <w:r w:rsidRPr="00AA3FA5">
              <w:rPr>
                <w:rFonts w:ascii="Times New Roman" w:hAnsi="Times New Roman" w:cs="Times New Roman"/>
                <w:sz w:val="24"/>
                <w:szCs w:val="24"/>
              </w:rPr>
              <w:t>22.03.2019.</w:t>
            </w:r>
          </w:p>
        </w:tc>
        <w:tc>
          <w:tcPr>
            <w:tcW w:w="3402" w:type="dxa"/>
          </w:tcPr>
          <w:p w:rsidR="00B12680" w:rsidRPr="00AA3FA5" w:rsidRDefault="002914D6" w:rsidP="0071701B">
            <w:pPr>
              <w:rPr>
                <w:rFonts w:ascii="Times New Roman" w:hAnsi="Times New Roman" w:cs="Times New Roman"/>
                <w:sz w:val="24"/>
                <w:szCs w:val="24"/>
              </w:rPr>
            </w:pPr>
            <w:r w:rsidRPr="00AA3FA5">
              <w:rPr>
                <w:rFonts w:ascii="Times New Roman" w:hAnsi="Times New Roman" w:cs="Times New Roman"/>
                <w:sz w:val="24"/>
                <w:szCs w:val="24"/>
              </w:rPr>
              <w:t>Nr. 2.5/2019/1211</w:t>
            </w:r>
          </w:p>
        </w:tc>
      </w:tr>
      <w:tr w:rsidR="00B96510" w:rsidTr="00456702">
        <w:tc>
          <w:tcPr>
            <w:tcW w:w="2235" w:type="dxa"/>
          </w:tcPr>
          <w:p w:rsidR="00B12680" w:rsidRPr="00AA3FA5" w:rsidRDefault="002914D6" w:rsidP="00D413BB">
            <w:pPr>
              <w:rPr>
                <w:rFonts w:ascii="Times New Roman" w:hAnsi="Times New Roman" w:cs="Times New Roman"/>
                <w:sz w:val="24"/>
                <w:szCs w:val="24"/>
              </w:rPr>
            </w:pPr>
            <w:r w:rsidRPr="00AA3FA5">
              <w:rPr>
                <w:rFonts w:ascii="Times New Roman" w:hAnsi="Times New Roman" w:cs="Times New Roman"/>
                <w:sz w:val="24"/>
                <w:szCs w:val="24"/>
              </w:rPr>
              <w:t xml:space="preserve">Uz </w:t>
            </w:r>
          </w:p>
        </w:tc>
        <w:tc>
          <w:tcPr>
            <w:tcW w:w="3402" w:type="dxa"/>
          </w:tcPr>
          <w:p w:rsidR="00B12680" w:rsidRPr="00AA3FA5" w:rsidRDefault="002914D6" w:rsidP="00B12680">
            <w:pPr>
              <w:rPr>
                <w:rFonts w:ascii="Times New Roman" w:hAnsi="Times New Roman" w:cs="Times New Roman"/>
                <w:sz w:val="24"/>
                <w:szCs w:val="24"/>
              </w:rPr>
            </w:pPr>
            <w:r w:rsidRPr="00AA3FA5">
              <w:rPr>
                <w:rFonts w:ascii="Times New Roman" w:hAnsi="Times New Roman" w:cs="Times New Roman"/>
                <w:sz w:val="24"/>
                <w:szCs w:val="24"/>
              </w:rPr>
              <w:t xml:space="preserve">Nr. </w:t>
            </w:r>
          </w:p>
        </w:tc>
      </w:tr>
    </w:tbl>
    <w:p w:rsidR="001419F0" w:rsidRPr="00AA3FA5" w:rsidRDefault="002914D6" w:rsidP="001419F0">
      <w:pPr>
        <w:rPr>
          <w:rFonts w:ascii="Times New Roman" w:hAnsi="Times New Roman" w:cs="Times New Roman"/>
          <w:sz w:val="24"/>
          <w:szCs w:val="24"/>
        </w:rPr>
      </w:pPr>
      <w:r w:rsidRPr="00AA3FA5">
        <w:rPr>
          <w:rFonts w:ascii="Times New Roman" w:hAnsi="Times New Roman" w:cs="Times New Roman"/>
          <w:sz w:val="24"/>
          <w:szCs w:val="24"/>
        </w:rPr>
        <w:t xml:space="preserve"> </w:t>
      </w:r>
    </w:p>
    <w:tbl>
      <w:tblPr>
        <w:tblStyle w:val="TableGrid"/>
        <w:tblW w:w="4678" w:type="dxa"/>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B96510" w:rsidTr="000F7C06">
        <w:tc>
          <w:tcPr>
            <w:tcW w:w="4678" w:type="dxa"/>
          </w:tcPr>
          <w:p w:rsidR="001419F0" w:rsidRPr="00AA3FA5" w:rsidRDefault="002914D6" w:rsidP="001419F0">
            <w:pPr>
              <w:jc w:val="right"/>
              <w:rPr>
                <w:rFonts w:ascii="Times New Roman" w:hAnsi="Times New Roman" w:cs="Times New Roman"/>
                <w:sz w:val="24"/>
                <w:szCs w:val="24"/>
              </w:rPr>
            </w:pPr>
            <w:r w:rsidRPr="00AA3FA5">
              <w:rPr>
                <w:rFonts w:ascii="Times New Roman" w:hAnsi="Times New Roman" w:cs="Times New Roman"/>
                <w:sz w:val="24"/>
                <w:szCs w:val="24"/>
              </w:rPr>
              <w:t>Sarunu procedūras pretendentiem</w:t>
            </w:r>
          </w:p>
        </w:tc>
      </w:tr>
    </w:tbl>
    <w:p w:rsidR="001419F0" w:rsidRPr="00AA3FA5" w:rsidRDefault="00C10665" w:rsidP="00D413BB">
      <w:pPr>
        <w:rPr>
          <w:rFonts w:ascii="Times New Roman" w:hAnsi="Times New Roman" w:cs="Times New Roman"/>
          <w:sz w:val="24"/>
          <w:szCs w:val="24"/>
        </w:rPr>
      </w:pPr>
    </w:p>
    <w:p w:rsidR="00772C36" w:rsidRDefault="002914D6">
      <w:pPr>
        <w:rPr>
          <w:rFonts w:ascii="Times New Roman" w:hAnsi="Times New Roman" w:cs="Times New Roman"/>
          <w:sz w:val="24"/>
          <w:szCs w:val="24"/>
        </w:rPr>
      </w:pPr>
      <w:r w:rsidRPr="00AA3FA5">
        <w:rPr>
          <w:rFonts w:ascii="Times New Roman" w:hAnsi="Times New Roman" w:cs="Times New Roman"/>
          <w:sz w:val="24"/>
          <w:szCs w:val="24"/>
        </w:rPr>
        <w:t>Par sarunu procedūru "Ģeogrāfiskās informācijas sistēmas pakalpojuma ieviešana un abonēšana" (ID Nr.AST2019/29) - atbildes uz pretendentu jautājumiem un grozījumi nolikumā</w:t>
      </w:r>
    </w:p>
    <w:p w:rsidR="00297D15" w:rsidRDefault="00C10665" w:rsidP="00297D15">
      <w:pPr>
        <w:autoSpaceDE w:val="0"/>
        <w:autoSpaceDN w:val="0"/>
        <w:adjustRightInd w:val="0"/>
        <w:spacing w:after="120" w:line="240" w:lineRule="auto"/>
        <w:jc w:val="both"/>
        <w:rPr>
          <w:rFonts w:ascii="Times New Roman" w:hAnsi="Times New Roman" w:cs="Times New Roman"/>
          <w:color w:val="000000"/>
          <w:sz w:val="24"/>
          <w:szCs w:val="24"/>
        </w:rPr>
      </w:pPr>
    </w:p>
    <w:p w:rsidR="00297D15" w:rsidRDefault="002914D6" w:rsidP="00297D15">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Ļ. cien. dāmas / a. god. kungi!</w:t>
      </w:r>
    </w:p>
    <w:p w:rsidR="00297D15" w:rsidRPr="00AE208E" w:rsidRDefault="002914D6" w:rsidP="00297D15">
      <w:pPr>
        <w:autoSpaceDE w:val="0"/>
        <w:autoSpaceDN w:val="0"/>
        <w:adjustRightInd w:val="0"/>
        <w:spacing w:after="240" w:line="240" w:lineRule="auto"/>
        <w:ind w:firstLine="567"/>
        <w:jc w:val="both"/>
        <w:rPr>
          <w:rFonts w:ascii="Times New Roman" w:hAnsi="Times New Roman" w:cs="Times New Roman"/>
          <w:sz w:val="24"/>
          <w:szCs w:val="24"/>
        </w:rPr>
      </w:pPr>
      <w:r w:rsidRPr="00AE208E">
        <w:rPr>
          <w:rFonts w:ascii="Times New Roman" w:hAnsi="Times New Roman" w:cs="Times New Roman"/>
          <w:color w:val="000000"/>
          <w:sz w:val="24"/>
          <w:szCs w:val="24"/>
        </w:rPr>
        <w:t>Ar šo vēstuli sniedz</w:t>
      </w:r>
      <w:r>
        <w:rPr>
          <w:rFonts w:ascii="Times New Roman" w:hAnsi="Times New Roman" w:cs="Times New Roman"/>
          <w:color w:val="000000"/>
          <w:sz w:val="24"/>
          <w:szCs w:val="24"/>
        </w:rPr>
        <w:t>am atbildes</w:t>
      </w:r>
      <w:r w:rsidRPr="00AE208E">
        <w:rPr>
          <w:rFonts w:ascii="Times New Roman" w:hAnsi="Times New Roman" w:cs="Times New Roman"/>
          <w:color w:val="000000"/>
          <w:sz w:val="24"/>
          <w:szCs w:val="24"/>
        </w:rPr>
        <w:t xml:space="preserve"> uz  </w:t>
      </w:r>
      <w:r>
        <w:rPr>
          <w:rFonts w:ascii="Times New Roman" w:hAnsi="Times New Roman" w:cs="Times New Roman"/>
          <w:color w:val="000000"/>
          <w:sz w:val="24"/>
          <w:szCs w:val="24"/>
        </w:rPr>
        <w:t>pretendenta jautājumiem</w:t>
      </w:r>
      <w:r w:rsidRPr="00AE208E">
        <w:rPr>
          <w:rFonts w:ascii="Times New Roman" w:hAnsi="Times New Roman" w:cs="Times New Roman"/>
          <w:color w:val="000000"/>
          <w:sz w:val="24"/>
          <w:szCs w:val="24"/>
        </w:rPr>
        <w:t xml:space="preserve"> par </w:t>
      </w:r>
      <w:r w:rsidRPr="00AE208E">
        <w:rPr>
          <w:rFonts w:ascii="Times New Roman" w:hAnsi="Times New Roman" w:cs="Times New Roman"/>
          <w:sz w:val="24"/>
          <w:szCs w:val="24"/>
        </w:rPr>
        <w:t>sarunu procedūru.</w:t>
      </w:r>
    </w:p>
    <w:p w:rsidR="00EF08C6" w:rsidRPr="009548A7" w:rsidRDefault="002914D6" w:rsidP="009548A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9548A7">
        <w:rPr>
          <w:rFonts w:ascii="Times New Roman" w:hAnsi="Times New Roman" w:cs="Times New Roman"/>
          <w:b/>
          <w:sz w:val="24"/>
          <w:szCs w:val="24"/>
        </w:rPr>
        <w:t>Jautājums: Nolikuma punktā 11.6 ir rakstīts “Piedāvājumam jābūt iesniegtam latviešu un/vai angļu valodā.”</w:t>
      </w:r>
      <w:r>
        <w:rPr>
          <w:rFonts w:ascii="Times New Roman" w:hAnsi="Times New Roman" w:cs="Times New Roman"/>
          <w:b/>
          <w:sz w:val="24"/>
          <w:szCs w:val="24"/>
        </w:rPr>
        <w:t xml:space="preserve"> </w:t>
      </w:r>
      <w:r w:rsidRPr="00AA3FA5">
        <w:rPr>
          <w:rFonts w:ascii="Times New Roman" w:hAnsi="Times New Roman" w:cs="Times New Roman"/>
          <w:i/>
          <w:sz w:val="24"/>
          <w:szCs w:val="24"/>
        </w:rPr>
        <w:t>Vai tas nozīmē, ka Piedāvājums jāiesniedz gan latviešu, gan angļu valodā? Vai no tā izriet, ka Piedāvājumā var pievienot dokumentus</w:t>
      </w:r>
    </w:p>
    <w:p w:rsidR="00EF08C6" w:rsidRPr="00AA3FA5" w:rsidRDefault="002914D6" w:rsidP="00AA3FA5">
      <w:pPr>
        <w:pStyle w:val="BodyTextIndent"/>
        <w:spacing w:line="264" w:lineRule="auto"/>
        <w:contextualSpacing/>
        <w:rPr>
          <w:i/>
          <w:szCs w:val="24"/>
        </w:rPr>
      </w:pPr>
      <w:r w:rsidRPr="00AA3FA5">
        <w:rPr>
          <w:i/>
          <w:szCs w:val="24"/>
        </w:rPr>
        <w:t>bez tulkojumiem?</w:t>
      </w:r>
    </w:p>
    <w:p w:rsidR="00EF08C6" w:rsidRPr="00AA3FA5" w:rsidRDefault="00C10665" w:rsidP="00AA3FA5">
      <w:pPr>
        <w:pStyle w:val="BodyTextIndent"/>
        <w:spacing w:line="264" w:lineRule="auto"/>
        <w:contextualSpacing/>
        <w:rPr>
          <w:szCs w:val="24"/>
        </w:rPr>
      </w:pPr>
    </w:p>
    <w:p w:rsidR="00EF08C6" w:rsidRPr="00AA3FA5" w:rsidRDefault="002914D6" w:rsidP="00101C6D">
      <w:pPr>
        <w:pStyle w:val="BodyTextIndent"/>
        <w:spacing w:line="264" w:lineRule="auto"/>
        <w:ind w:firstLine="720"/>
        <w:contextualSpacing/>
        <w:rPr>
          <w:szCs w:val="24"/>
        </w:rPr>
      </w:pPr>
      <w:r>
        <w:rPr>
          <w:szCs w:val="24"/>
        </w:rPr>
        <w:t xml:space="preserve">Atbilde: </w:t>
      </w:r>
      <w:r w:rsidRPr="00AA3FA5">
        <w:rPr>
          <w:szCs w:val="24"/>
        </w:rPr>
        <w:t>Piedāvājumu var iesniegt latviešu vai angļu valodās. Piedāvājumā var pievienot dokumentus bez tulkojumiem.</w:t>
      </w:r>
    </w:p>
    <w:p w:rsidR="00EF08C6" w:rsidRPr="00AA3FA5" w:rsidRDefault="00C10665" w:rsidP="00AA3FA5">
      <w:pPr>
        <w:pStyle w:val="BodyTextIndent"/>
        <w:spacing w:line="264" w:lineRule="auto"/>
        <w:contextualSpacing/>
        <w:rPr>
          <w:szCs w:val="24"/>
        </w:rPr>
      </w:pPr>
    </w:p>
    <w:p w:rsidR="00EF08C6" w:rsidRPr="009548A7" w:rsidRDefault="002914D6" w:rsidP="009548A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Jautājums: </w:t>
      </w:r>
      <w:r w:rsidRPr="009548A7">
        <w:rPr>
          <w:rFonts w:ascii="Times New Roman" w:hAnsi="Times New Roman" w:cs="Times New Roman"/>
          <w:b/>
          <w:sz w:val="24"/>
          <w:szCs w:val="24"/>
        </w:rPr>
        <w:t>Nolikuma 15.1 punktā ir rakstīts “Piedāvājuma vērtēšanas ietvaros Pretendenti tiks uzaicināti noteiktā laikā, saskaņā ar Nolikuma 15.8 punktu, Pasūtītāja telpās (Rīgā) veikt sistēmas demonstrāciju. Pakalpojuma (piedāvātā risinājuma) demonstrācija jāveic atbilstoši Pielikumā Nr. 7 aprakstītajiem funkcionalitātes scenārijiem, ievērojot scenāriju punktu secību.”</w:t>
      </w:r>
      <w:r>
        <w:rPr>
          <w:rFonts w:ascii="Times New Roman" w:hAnsi="Times New Roman" w:cs="Times New Roman"/>
          <w:b/>
          <w:sz w:val="24"/>
          <w:szCs w:val="24"/>
        </w:rPr>
        <w:t xml:space="preserve"> </w:t>
      </w:r>
      <w:r w:rsidRPr="00AA3FA5">
        <w:rPr>
          <w:rFonts w:ascii="Times New Roman" w:hAnsi="Times New Roman" w:cs="Times New Roman"/>
          <w:i/>
          <w:sz w:val="24"/>
          <w:szCs w:val="24"/>
        </w:rPr>
        <w:t>Ir jāsecina, ka Pielikums Nr. 7 neatbilst minētajam 15.1 punktā, attiecīgi Pretendenti nevar iepazīties ar informāciju par Funkcionalitātes scenārijiem un nevar sagatavoties plānotajai demonstrācijai.</w:t>
      </w:r>
    </w:p>
    <w:p w:rsidR="00EF08C6" w:rsidRPr="00AA3FA5" w:rsidRDefault="00C10665" w:rsidP="00AA3FA5">
      <w:pPr>
        <w:autoSpaceDE w:val="0"/>
        <w:autoSpaceDN w:val="0"/>
        <w:adjustRightInd w:val="0"/>
        <w:spacing w:after="0" w:line="240" w:lineRule="auto"/>
        <w:ind w:firstLine="360"/>
        <w:jc w:val="both"/>
        <w:rPr>
          <w:rFonts w:ascii="Times New Roman" w:hAnsi="Times New Roman" w:cs="Times New Roman"/>
          <w:sz w:val="24"/>
          <w:szCs w:val="24"/>
        </w:rPr>
      </w:pPr>
    </w:p>
    <w:p w:rsidR="00EF08C6" w:rsidRPr="00AA3FA5" w:rsidRDefault="002914D6" w:rsidP="00101C6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Atbilde: </w:t>
      </w:r>
      <w:r w:rsidRPr="00AA3FA5">
        <w:rPr>
          <w:rFonts w:ascii="Times New Roman" w:hAnsi="Times New Roman" w:cs="Times New Roman"/>
          <w:sz w:val="24"/>
          <w:szCs w:val="24"/>
        </w:rPr>
        <w:t>Nolikuma 15.1 un 16.7. punktos ir ieviesusies drukas kļūda un nolikumā tiek veikti sekojoši grozījumi:</w:t>
      </w:r>
    </w:p>
    <w:p w:rsidR="00EF08C6" w:rsidRPr="00AA3FA5" w:rsidRDefault="002914D6" w:rsidP="00AA3FA5">
      <w:pPr>
        <w:autoSpaceDE w:val="0"/>
        <w:autoSpaceDN w:val="0"/>
        <w:adjustRightInd w:val="0"/>
        <w:spacing w:after="0" w:line="240" w:lineRule="auto"/>
        <w:ind w:firstLine="360"/>
        <w:jc w:val="both"/>
        <w:rPr>
          <w:rFonts w:ascii="Times New Roman" w:hAnsi="Times New Roman" w:cs="Times New Roman"/>
          <w:sz w:val="24"/>
          <w:szCs w:val="24"/>
        </w:rPr>
      </w:pPr>
      <w:r w:rsidRPr="00AA3FA5">
        <w:rPr>
          <w:rFonts w:ascii="Times New Roman" w:hAnsi="Times New Roman" w:cs="Times New Roman"/>
          <w:sz w:val="24"/>
          <w:szCs w:val="24"/>
        </w:rPr>
        <w:t>1) Nolikuma 15.1. punktā: "…Pakalpojuma (piedāvātā risinājuma) demonstrācija jāveic atbilstoši 8. pielikumā aprakstītājiem funkcionalitātes scenārijiem, ievērojot scenāriju punktu secību."</w:t>
      </w:r>
    </w:p>
    <w:p w:rsidR="00EF08C6" w:rsidRPr="00AA3FA5" w:rsidRDefault="002914D6" w:rsidP="00AA3FA5">
      <w:pPr>
        <w:autoSpaceDE w:val="0"/>
        <w:autoSpaceDN w:val="0"/>
        <w:adjustRightInd w:val="0"/>
        <w:spacing w:after="0" w:line="240" w:lineRule="auto"/>
        <w:ind w:firstLine="360"/>
        <w:jc w:val="both"/>
        <w:rPr>
          <w:rFonts w:ascii="Times New Roman" w:hAnsi="Times New Roman" w:cs="Times New Roman"/>
          <w:b/>
          <w:bCs/>
          <w:sz w:val="24"/>
          <w:szCs w:val="24"/>
        </w:rPr>
      </w:pPr>
      <w:r w:rsidRPr="00AA3FA5">
        <w:rPr>
          <w:rFonts w:ascii="Times New Roman" w:hAnsi="Times New Roman" w:cs="Times New Roman"/>
          <w:bCs/>
          <w:sz w:val="24"/>
          <w:szCs w:val="24"/>
        </w:rPr>
        <w:t xml:space="preserve">2) </w:t>
      </w:r>
      <w:r w:rsidRPr="00AA3FA5">
        <w:rPr>
          <w:rFonts w:ascii="Times New Roman" w:hAnsi="Times New Roman" w:cs="Times New Roman"/>
          <w:sz w:val="24"/>
          <w:szCs w:val="24"/>
        </w:rPr>
        <w:t>Nolikuma 16.7. punktā: "Funkcionalitātes kvalitāte tiks novērtēta, piešķirot punktus no 0 līdz 10 par katru piedāvātā risinājuma demonstrācijas soli, punktu vai to kopu, atbilstoši 8. pielikumā esošajai tabulai, saskaņā ar šādu metodoloģiju:"</w:t>
      </w:r>
    </w:p>
    <w:p w:rsidR="00EF08C6" w:rsidRPr="00AA3FA5" w:rsidRDefault="00C10665" w:rsidP="00AA3FA5">
      <w:pPr>
        <w:autoSpaceDE w:val="0"/>
        <w:autoSpaceDN w:val="0"/>
        <w:adjustRightInd w:val="0"/>
        <w:spacing w:after="0" w:line="240" w:lineRule="auto"/>
        <w:ind w:firstLine="360"/>
        <w:jc w:val="both"/>
        <w:rPr>
          <w:rFonts w:ascii="Times New Roman" w:hAnsi="Times New Roman" w:cs="Times New Roman"/>
          <w:sz w:val="24"/>
          <w:szCs w:val="24"/>
        </w:rPr>
      </w:pPr>
    </w:p>
    <w:p w:rsidR="00EF08C6" w:rsidRPr="00AA3FA5" w:rsidRDefault="002914D6" w:rsidP="00101C6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8.pielikums "</w:t>
      </w:r>
      <w:r w:rsidRPr="00AA3FA5">
        <w:rPr>
          <w:rFonts w:ascii="Times New Roman" w:hAnsi="Times New Roman" w:cs="Times New Roman"/>
          <w:sz w:val="24"/>
          <w:szCs w:val="24"/>
        </w:rPr>
        <w:t>ĢIS pakalpojuma izvērtēšanas scenārijs" pievienots šīs vēstules pielikumā.</w:t>
      </w:r>
    </w:p>
    <w:p w:rsidR="00EF08C6" w:rsidRPr="00AA3FA5" w:rsidRDefault="002914D6" w:rsidP="00101C6D">
      <w:pPr>
        <w:autoSpaceDE w:val="0"/>
        <w:autoSpaceDN w:val="0"/>
        <w:adjustRightInd w:val="0"/>
        <w:spacing w:after="0" w:line="240" w:lineRule="auto"/>
        <w:ind w:firstLine="720"/>
        <w:jc w:val="both"/>
        <w:rPr>
          <w:rFonts w:ascii="Times New Roman" w:hAnsi="Times New Roman" w:cs="Times New Roman"/>
          <w:sz w:val="24"/>
          <w:szCs w:val="24"/>
        </w:rPr>
      </w:pPr>
      <w:r w:rsidRPr="00AA3FA5">
        <w:rPr>
          <w:rFonts w:ascii="Times New Roman" w:hAnsi="Times New Roman" w:cs="Times New Roman"/>
          <w:sz w:val="24"/>
          <w:szCs w:val="24"/>
        </w:rPr>
        <w:t>Grozījumi ir sarunu procedūras nolikuma neatņemama sastāvdaļa.</w:t>
      </w:r>
    </w:p>
    <w:p w:rsidR="00EF08C6" w:rsidRPr="00AA3FA5" w:rsidRDefault="00C10665" w:rsidP="00AA3FA5">
      <w:pPr>
        <w:autoSpaceDE w:val="0"/>
        <w:autoSpaceDN w:val="0"/>
        <w:adjustRightInd w:val="0"/>
        <w:spacing w:after="0" w:line="240" w:lineRule="auto"/>
        <w:ind w:firstLine="360"/>
        <w:jc w:val="both"/>
        <w:rPr>
          <w:rFonts w:ascii="Times New Roman" w:hAnsi="Times New Roman" w:cs="Times New Roman"/>
          <w:sz w:val="24"/>
          <w:szCs w:val="24"/>
        </w:rPr>
      </w:pPr>
    </w:p>
    <w:p w:rsidR="00EF08C6" w:rsidRPr="009548A7" w:rsidRDefault="002914D6" w:rsidP="00100B2E">
      <w:pPr>
        <w:pStyle w:val="BodyTextIndent"/>
        <w:spacing w:line="264" w:lineRule="auto"/>
        <w:rPr>
          <w:b/>
          <w:szCs w:val="24"/>
        </w:rPr>
      </w:pPr>
      <w:r w:rsidRPr="00AA3FA5">
        <w:rPr>
          <w:b/>
          <w:szCs w:val="24"/>
        </w:rPr>
        <w:tab/>
      </w:r>
      <w:r>
        <w:rPr>
          <w:b/>
          <w:szCs w:val="24"/>
        </w:rPr>
        <w:t xml:space="preserve">3. Jautājums: </w:t>
      </w:r>
      <w:r w:rsidRPr="009548A7">
        <w:rPr>
          <w:b/>
          <w:szCs w:val="24"/>
        </w:rPr>
        <w:t>Kāds ir kopējais izejošā kanāla apjoms struktūrvienībām, kas izmantos ĢIS sistēmu, lai varētu nodrošināt atbilstošu pieslēguma veidu datu centrā?</w:t>
      </w:r>
    </w:p>
    <w:p w:rsidR="00EF08C6" w:rsidRPr="00AA3FA5" w:rsidRDefault="002914D6" w:rsidP="00101C6D">
      <w:pPr>
        <w:autoSpaceDE w:val="0"/>
        <w:autoSpaceDN w:val="0"/>
        <w:adjustRightInd w:val="0"/>
        <w:spacing w:after="0" w:line="264"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Atbilde: </w:t>
      </w:r>
      <w:r w:rsidRPr="00AA3FA5">
        <w:rPr>
          <w:rFonts w:ascii="Times New Roman" w:hAnsi="Times New Roman" w:cs="Times New Roman"/>
          <w:sz w:val="24"/>
          <w:szCs w:val="24"/>
        </w:rPr>
        <w:t>Izvēloties pieslēguma veidu datu centrā, lūdzam ņemt vērā tehniskajā specifikācijā noteiktās sistēmas veiktspējas prasības, paredzamo lietotāju skaitu, izmantojamās fona kartes un tml.</w:t>
      </w:r>
    </w:p>
    <w:p w:rsidR="00100B2E" w:rsidRDefault="00C10665" w:rsidP="009548A7">
      <w:pPr>
        <w:autoSpaceDE w:val="0"/>
        <w:autoSpaceDN w:val="0"/>
        <w:adjustRightInd w:val="0"/>
        <w:spacing w:after="0" w:line="264" w:lineRule="auto"/>
        <w:jc w:val="both"/>
        <w:rPr>
          <w:rFonts w:ascii="Times New Roman" w:hAnsi="Times New Roman" w:cs="Times New Roman"/>
          <w:b/>
          <w:sz w:val="24"/>
          <w:szCs w:val="24"/>
        </w:rPr>
      </w:pPr>
    </w:p>
    <w:p w:rsidR="00EF08C6" w:rsidRPr="009548A7" w:rsidRDefault="002914D6" w:rsidP="009548A7">
      <w:pPr>
        <w:autoSpaceDE w:val="0"/>
        <w:autoSpaceDN w:val="0"/>
        <w:adjustRightInd w:val="0"/>
        <w:spacing w:after="0" w:line="264" w:lineRule="auto"/>
        <w:jc w:val="both"/>
        <w:rPr>
          <w:rFonts w:ascii="Times New Roman" w:hAnsi="Times New Roman" w:cs="Times New Roman"/>
          <w:b/>
          <w:sz w:val="24"/>
          <w:szCs w:val="24"/>
        </w:rPr>
      </w:pPr>
      <w:r>
        <w:rPr>
          <w:rFonts w:ascii="Times New Roman" w:hAnsi="Times New Roman" w:cs="Times New Roman"/>
          <w:b/>
          <w:sz w:val="24"/>
          <w:szCs w:val="24"/>
        </w:rPr>
        <w:t xml:space="preserve">4. Jautājums: </w:t>
      </w:r>
      <w:r w:rsidRPr="009548A7">
        <w:rPr>
          <w:rFonts w:ascii="Times New Roman" w:hAnsi="Times New Roman" w:cs="Times New Roman"/>
          <w:b/>
          <w:sz w:val="24"/>
          <w:szCs w:val="24"/>
        </w:rPr>
        <w:t>Sarunu procedūras Līguma projektā 9.1 punktā ir minēts “[..] nodrošināt piekļuvi platformas sistēmas datiem un funkcionalitātei trešajām personām.” Vai trešās personas varēs izmantot piekļuvi tikai Pasūtītāja darbu izpildes vajadzībām?</w:t>
      </w:r>
    </w:p>
    <w:p w:rsidR="00EF08C6" w:rsidRPr="00AA3FA5" w:rsidRDefault="00C10665" w:rsidP="00AA3FA5">
      <w:pPr>
        <w:autoSpaceDE w:val="0"/>
        <w:autoSpaceDN w:val="0"/>
        <w:adjustRightInd w:val="0"/>
        <w:spacing w:after="0" w:line="264" w:lineRule="auto"/>
        <w:jc w:val="both"/>
        <w:rPr>
          <w:rFonts w:ascii="Times New Roman" w:hAnsi="Times New Roman" w:cs="Times New Roman"/>
          <w:b/>
          <w:sz w:val="24"/>
          <w:szCs w:val="24"/>
        </w:rPr>
      </w:pPr>
    </w:p>
    <w:p w:rsidR="00EF08C6" w:rsidRPr="00AA3FA5" w:rsidRDefault="002914D6" w:rsidP="00101C6D">
      <w:pPr>
        <w:autoSpaceDE w:val="0"/>
        <w:autoSpaceDN w:val="0"/>
        <w:adjustRightInd w:val="0"/>
        <w:spacing w:after="0" w:line="264"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Atbilde: </w:t>
      </w:r>
      <w:r w:rsidRPr="00AA3FA5">
        <w:rPr>
          <w:rFonts w:ascii="Times New Roman" w:hAnsi="Times New Roman" w:cs="Times New Roman"/>
          <w:sz w:val="24"/>
          <w:szCs w:val="24"/>
        </w:rPr>
        <w:t xml:space="preserve">Jā. Trešās personas būs tikai tās, kas izpildīs darbus Pasūtītāja pamatbiznesa vajadzību nodrošināšanai, piem. jaunu objektu būvniecība, uzturēšanas darbi, avāriju novēršana un tml. </w:t>
      </w:r>
    </w:p>
    <w:p w:rsidR="00EF08C6" w:rsidRPr="00AA3FA5" w:rsidRDefault="00C10665" w:rsidP="00AA3FA5">
      <w:pPr>
        <w:autoSpaceDE w:val="0"/>
        <w:autoSpaceDN w:val="0"/>
        <w:adjustRightInd w:val="0"/>
        <w:spacing w:after="0" w:line="264" w:lineRule="auto"/>
        <w:ind w:left="360" w:firstLine="360"/>
        <w:jc w:val="both"/>
        <w:rPr>
          <w:rFonts w:ascii="Times New Roman" w:hAnsi="Times New Roman" w:cs="Times New Roman"/>
          <w:sz w:val="24"/>
          <w:szCs w:val="24"/>
        </w:rPr>
      </w:pPr>
    </w:p>
    <w:p w:rsidR="00EF08C6" w:rsidRPr="009548A7" w:rsidRDefault="002914D6" w:rsidP="009548A7">
      <w:pPr>
        <w:autoSpaceDE w:val="0"/>
        <w:autoSpaceDN w:val="0"/>
        <w:adjustRightInd w:val="0"/>
        <w:spacing w:after="0" w:line="264" w:lineRule="auto"/>
        <w:jc w:val="both"/>
        <w:rPr>
          <w:rFonts w:ascii="Times New Roman" w:hAnsi="Times New Roman" w:cs="Times New Roman"/>
          <w:b/>
          <w:sz w:val="24"/>
          <w:szCs w:val="24"/>
        </w:rPr>
      </w:pPr>
      <w:r>
        <w:rPr>
          <w:rFonts w:ascii="Times New Roman" w:hAnsi="Times New Roman" w:cs="Times New Roman"/>
          <w:b/>
          <w:sz w:val="24"/>
          <w:szCs w:val="24"/>
        </w:rPr>
        <w:t xml:space="preserve">5. Jautājums: </w:t>
      </w:r>
      <w:r w:rsidRPr="009548A7">
        <w:rPr>
          <w:rFonts w:ascii="Times New Roman" w:hAnsi="Times New Roman" w:cs="Times New Roman"/>
          <w:b/>
          <w:sz w:val="24"/>
          <w:szCs w:val="24"/>
        </w:rPr>
        <w:t>Sarunu procedūras Tehniskajā specifikācijā 7.4.7. punktā ir norādīts objektu veids un skaits par ko tiek glabāta informācija. Kāds ir paredzamais datu apjoms datubāzē par šiem objektiem?</w:t>
      </w:r>
    </w:p>
    <w:p w:rsidR="00EF08C6" w:rsidRPr="00AA3FA5" w:rsidRDefault="00C10665" w:rsidP="00AA3FA5">
      <w:pPr>
        <w:autoSpaceDE w:val="0"/>
        <w:autoSpaceDN w:val="0"/>
        <w:adjustRightInd w:val="0"/>
        <w:spacing w:after="0" w:line="264" w:lineRule="auto"/>
        <w:ind w:left="360"/>
        <w:jc w:val="both"/>
        <w:rPr>
          <w:rFonts w:ascii="Times New Roman" w:hAnsi="Times New Roman" w:cs="Times New Roman"/>
          <w:b/>
          <w:sz w:val="24"/>
          <w:szCs w:val="24"/>
        </w:rPr>
      </w:pPr>
    </w:p>
    <w:p w:rsidR="00EF08C6" w:rsidRPr="00AA3FA5" w:rsidRDefault="002914D6" w:rsidP="00101C6D">
      <w:pPr>
        <w:autoSpaceDE w:val="0"/>
        <w:autoSpaceDN w:val="0"/>
        <w:adjustRightInd w:val="0"/>
        <w:spacing w:after="0" w:line="264"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Atbilde: </w:t>
      </w:r>
      <w:r w:rsidRPr="00AA3FA5">
        <w:rPr>
          <w:rFonts w:ascii="Times New Roman" w:hAnsi="Times New Roman" w:cs="Times New Roman"/>
          <w:sz w:val="24"/>
          <w:szCs w:val="24"/>
        </w:rPr>
        <w:t>Pamatdati paredzami līdz  20Gb. Pasūtītājs paredz, ka tuvā nākotnē sistēmā varētu tikt pievienoti aerolāzerskenēšanas dati, tāpēc sagaidāms datu apjoma pieaugums līdz vismaz 1 TB.</w:t>
      </w:r>
    </w:p>
    <w:p w:rsidR="00EF08C6" w:rsidRPr="00AA3FA5" w:rsidRDefault="00C10665" w:rsidP="00AA3FA5">
      <w:pPr>
        <w:autoSpaceDE w:val="0"/>
        <w:autoSpaceDN w:val="0"/>
        <w:adjustRightInd w:val="0"/>
        <w:spacing w:after="0" w:line="264" w:lineRule="auto"/>
        <w:jc w:val="both"/>
        <w:rPr>
          <w:rFonts w:ascii="Times New Roman" w:hAnsi="Times New Roman" w:cs="Times New Roman"/>
          <w:b/>
          <w:sz w:val="24"/>
          <w:szCs w:val="24"/>
        </w:rPr>
      </w:pPr>
    </w:p>
    <w:p w:rsidR="00EF08C6" w:rsidRPr="009548A7" w:rsidRDefault="002914D6" w:rsidP="009548A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 Jautājums: </w:t>
      </w:r>
      <w:r w:rsidRPr="009548A7">
        <w:rPr>
          <w:rFonts w:ascii="Times New Roman" w:hAnsi="Times New Roman" w:cs="Times New Roman"/>
          <w:b/>
          <w:sz w:val="24"/>
          <w:szCs w:val="24"/>
        </w:rPr>
        <w:t>Sarunu procedūras Tehniskajā specifikācijā 7.4.2. punktā D7 tiek minētas monitoringa sistēmas. Kāda monitoringa sistēma ir</w:t>
      </w:r>
      <w:r>
        <w:rPr>
          <w:rFonts w:ascii="Times New Roman" w:hAnsi="Times New Roman" w:cs="Times New Roman"/>
          <w:b/>
          <w:sz w:val="24"/>
          <w:szCs w:val="24"/>
        </w:rPr>
        <w:t xml:space="preserve"> </w:t>
      </w:r>
      <w:r w:rsidRPr="009548A7">
        <w:rPr>
          <w:rFonts w:ascii="Times New Roman" w:hAnsi="Times New Roman" w:cs="Times New Roman"/>
          <w:b/>
          <w:sz w:val="24"/>
          <w:szCs w:val="24"/>
        </w:rPr>
        <w:t>Pasūtītāja rīcībā un kādas ir tās integrācijas iespējas (API)?</w:t>
      </w:r>
    </w:p>
    <w:p w:rsidR="00EF08C6" w:rsidRPr="00AA3FA5" w:rsidRDefault="00C10665" w:rsidP="00AA3FA5">
      <w:pPr>
        <w:pStyle w:val="ListParagraph"/>
        <w:autoSpaceDE w:val="0"/>
        <w:autoSpaceDN w:val="0"/>
        <w:adjustRightInd w:val="0"/>
        <w:spacing w:after="0" w:line="240" w:lineRule="auto"/>
        <w:jc w:val="both"/>
        <w:rPr>
          <w:rFonts w:ascii="Times New Roman" w:hAnsi="Times New Roman" w:cs="Times New Roman"/>
          <w:b/>
          <w:sz w:val="24"/>
          <w:szCs w:val="24"/>
        </w:rPr>
      </w:pPr>
    </w:p>
    <w:p w:rsidR="00EF08C6" w:rsidRPr="00AA3FA5" w:rsidRDefault="002914D6" w:rsidP="00101C6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Atbilde: </w:t>
      </w:r>
      <w:r w:rsidRPr="00AA3FA5">
        <w:rPr>
          <w:rFonts w:ascii="Times New Roman" w:hAnsi="Times New Roman" w:cs="Times New Roman"/>
          <w:sz w:val="24"/>
          <w:szCs w:val="24"/>
        </w:rPr>
        <w:t>Pasūtītāja rīcībā ir monitoringa sistēma Zabbix, kura nodrošina datu saņemšanu no Zabbix proxy instancēm.</w:t>
      </w:r>
    </w:p>
    <w:p w:rsidR="00EF08C6" w:rsidRPr="00AA3FA5" w:rsidRDefault="00C10665" w:rsidP="00AA3FA5">
      <w:pPr>
        <w:autoSpaceDE w:val="0"/>
        <w:autoSpaceDN w:val="0"/>
        <w:adjustRightInd w:val="0"/>
        <w:spacing w:after="0" w:line="240" w:lineRule="auto"/>
        <w:jc w:val="both"/>
        <w:rPr>
          <w:rFonts w:ascii="Times New Roman" w:hAnsi="Times New Roman" w:cs="Times New Roman"/>
          <w:b/>
          <w:sz w:val="24"/>
          <w:szCs w:val="24"/>
        </w:rPr>
      </w:pPr>
    </w:p>
    <w:p w:rsidR="00EF08C6" w:rsidRPr="009548A7" w:rsidRDefault="002914D6" w:rsidP="009548A7">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Jautājums: </w:t>
      </w:r>
      <w:r w:rsidRPr="009548A7">
        <w:rPr>
          <w:rFonts w:ascii="Times New Roman" w:hAnsi="Times New Roman" w:cs="Times New Roman"/>
          <w:b/>
          <w:color w:val="000000"/>
          <w:sz w:val="24"/>
          <w:szCs w:val="24"/>
        </w:rPr>
        <w:t>Atbilstoši sarunu procedūras Tehniskās specifikācijas 7.4.2. punktam D9, un 7.4.4. punktam ADM-5, Pasūtītāja rīcībā ir ADFS sistēma,</w:t>
      </w:r>
    </w:p>
    <w:p w:rsidR="00EF08C6" w:rsidRPr="00AA3FA5" w:rsidRDefault="002914D6" w:rsidP="00AA3FA5">
      <w:pPr>
        <w:autoSpaceDE w:val="0"/>
        <w:autoSpaceDN w:val="0"/>
        <w:adjustRightInd w:val="0"/>
        <w:spacing w:after="0" w:line="240" w:lineRule="auto"/>
        <w:jc w:val="both"/>
        <w:rPr>
          <w:rFonts w:ascii="Times New Roman" w:hAnsi="Times New Roman" w:cs="Times New Roman"/>
          <w:b/>
          <w:color w:val="000000"/>
          <w:sz w:val="24"/>
          <w:szCs w:val="24"/>
        </w:rPr>
      </w:pPr>
      <w:r w:rsidRPr="00AA3FA5">
        <w:rPr>
          <w:rFonts w:ascii="Times New Roman" w:hAnsi="Times New Roman" w:cs="Times New Roman"/>
          <w:b/>
          <w:color w:val="000000"/>
          <w:sz w:val="24"/>
          <w:szCs w:val="24"/>
        </w:rPr>
        <w:t>kuru nepieciešams integrēties arī ĢIS. Jautājums vai pašreiz Pasūtītāja ADFS jau nav sasaistīts ar "Azure AD Connect Health", kas</w:t>
      </w:r>
    </w:p>
    <w:p w:rsidR="00EF08C6" w:rsidRPr="00AA3FA5" w:rsidRDefault="002914D6" w:rsidP="00AA3FA5">
      <w:pPr>
        <w:autoSpaceDE w:val="0"/>
        <w:autoSpaceDN w:val="0"/>
        <w:adjustRightInd w:val="0"/>
        <w:spacing w:after="0" w:line="240" w:lineRule="auto"/>
        <w:jc w:val="both"/>
        <w:rPr>
          <w:rFonts w:ascii="Times New Roman" w:hAnsi="Times New Roman" w:cs="Times New Roman"/>
          <w:b/>
          <w:color w:val="0563C2"/>
          <w:sz w:val="24"/>
          <w:szCs w:val="24"/>
        </w:rPr>
      </w:pPr>
      <w:r w:rsidRPr="00AA3FA5">
        <w:rPr>
          <w:rFonts w:ascii="Times New Roman" w:hAnsi="Times New Roman" w:cs="Times New Roman"/>
          <w:b/>
          <w:color w:val="000000"/>
          <w:sz w:val="24"/>
          <w:szCs w:val="24"/>
        </w:rPr>
        <w:t>nodrošinātu D9 un ADM-5 prasību izpildi (</w:t>
      </w:r>
      <w:hyperlink r:id="rId11" w:history="1">
        <w:r w:rsidRPr="00AA3FA5">
          <w:rPr>
            <w:rStyle w:val="Hyperlink"/>
            <w:rFonts w:ascii="Times New Roman" w:hAnsi="Times New Roman" w:cs="Times New Roman"/>
            <w:b/>
            <w:sz w:val="24"/>
            <w:szCs w:val="24"/>
          </w:rPr>
          <w:t>https://docs.microsoft.com/en-us/azure/active-directory/hybrid/how-to-connect-healthadfs</w:t>
        </w:r>
      </w:hyperlink>
    </w:p>
    <w:p w:rsidR="00EF08C6" w:rsidRPr="00AA3FA5" w:rsidRDefault="00C10665" w:rsidP="00AA3FA5">
      <w:pPr>
        <w:autoSpaceDE w:val="0"/>
        <w:autoSpaceDN w:val="0"/>
        <w:adjustRightInd w:val="0"/>
        <w:spacing w:after="0" w:line="240" w:lineRule="auto"/>
        <w:jc w:val="both"/>
        <w:rPr>
          <w:rFonts w:ascii="Times New Roman" w:hAnsi="Times New Roman" w:cs="Times New Roman"/>
          <w:b/>
          <w:sz w:val="24"/>
          <w:szCs w:val="24"/>
        </w:rPr>
      </w:pPr>
    </w:p>
    <w:p w:rsidR="00EF08C6" w:rsidRPr="00AA3FA5" w:rsidRDefault="002914D6" w:rsidP="00101C6D">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Atbilde: </w:t>
      </w:r>
      <w:r w:rsidRPr="00AA3FA5">
        <w:rPr>
          <w:rFonts w:ascii="Times New Roman" w:eastAsia="Times New Roman" w:hAnsi="Times New Roman" w:cs="Times New Roman"/>
          <w:sz w:val="24"/>
          <w:szCs w:val="24"/>
          <w:lang w:eastAsia="lv-LV"/>
        </w:rPr>
        <w:t>Ja par  ADFS tiek jautāts saistībā ar SSO</w:t>
      </w:r>
      <w:r w:rsidRPr="00AA3FA5">
        <w:rPr>
          <w:rFonts w:ascii="Times New Roman" w:hAnsi="Times New Roman" w:cs="Times New Roman"/>
          <w:sz w:val="24"/>
          <w:szCs w:val="24"/>
        </w:rPr>
        <w:t>,</w:t>
      </w:r>
      <w:r w:rsidRPr="00AA3FA5">
        <w:rPr>
          <w:rFonts w:ascii="Times New Roman" w:eastAsia="Times New Roman" w:hAnsi="Times New Roman" w:cs="Times New Roman"/>
          <w:sz w:val="24"/>
          <w:szCs w:val="24"/>
          <w:lang w:eastAsia="lv-LV"/>
        </w:rPr>
        <w:t xml:space="preserve"> tad š</w:t>
      </w:r>
      <w:r w:rsidRPr="00AA3FA5">
        <w:rPr>
          <w:rFonts w:ascii="Times New Roman" w:hAnsi="Times New Roman" w:cs="Times New Roman"/>
          <w:sz w:val="24"/>
          <w:szCs w:val="24"/>
        </w:rPr>
        <w:t>ī</w:t>
      </w:r>
      <w:r w:rsidRPr="00AA3FA5">
        <w:rPr>
          <w:rFonts w:ascii="Times New Roman" w:eastAsia="Times New Roman" w:hAnsi="Times New Roman" w:cs="Times New Roman"/>
          <w:sz w:val="24"/>
          <w:szCs w:val="24"/>
          <w:lang w:eastAsia="lv-LV"/>
        </w:rPr>
        <w:t xml:space="preserve">  funkcija AST ir ieviesta. Pārējie servisi no Azure netiek izmantoti.</w:t>
      </w:r>
    </w:p>
    <w:p w:rsidR="00EF08C6" w:rsidRPr="00AA3FA5" w:rsidRDefault="00C10665" w:rsidP="00AA3FA5">
      <w:pPr>
        <w:autoSpaceDE w:val="0"/>
        <w:autoSpaceDN w:val="0"/>
        <w:adjustRightInd w:val="0"/>
        <w:spacing w:after="0" w:line="240" w:lineRule="auto"/>
        <w:jc w:val="both"/>
        <w:rPr>
          <w:rFonts w:ascii="Times New Roman" w:hAnsi="Times New Roman" w:cs="Times New Roman"/>
          <w:sz w:val="24"/>
          <w:szCs w:val="24"/>
        </w:rPr>
      </w:pPr>
    </w:p>
    <w:p w:rsidR="00EF08C6" w:rsidRPr="009548A7" w:rsidRDefault="002914D6" w:rsidP="009548A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8. Jautājums: </w:t>
      </w:r>
      <w:r w:rsidRPr="009548A7">
        <w:rPr>
          <w:rFonts w:ascii="Times New Roman" w:hAnsi="Times New Roman" w:cs="Times New Roman"/>
          <w:b/>
          <w:sz w:val="24"/>
          <w:szCs w:val="24"/>
        </w:rPr>
        <w:t>Ja Piedāvājumā Pretendents piedāvā ĢIS programmatūras licences, vai licencēm ir jāpaliek pasūtītāja īpašumā, vai tās ir jānodrošina tikai uz Līgumā noteikto izpildes termiņu?</w:t>
      </w:r>
    </w:p>
    <w:p w:rsidR="00100B2E" w:rsidRDefault="00C10665" w:rsidP="00101C6D">
      <w:pPr>
        <w:autoSpaceDE w:val="0"/>
        <w:autoSpaceDN w:val="0"/>
        <w:adjustRightInd w:val="0"/>
        <w:spacing w:after="0" w:line="240" w:lineRule="auto"/>
        <w:ind w:firstLine="720"/>
        <w:jc w:val="both"/>
        <w:rPr>
          <w:rFonts w:ascii="Times New Roman" w:hAnsi="Times New Roman" w:cs="Times New Roman"/>
          <w:sz w:val="24"/>
          <w:szCs w:val="24"/>
        </w:rPr>
      </w:pPr>
    </w:p>
    <w:p w:rsidR="00EF08C6" w:rsidRPr="00AA3FA5" w:rsidRDefault="002914D6" w:rsidP="00101C6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Atbilde: </w:t>
      </w:r>
      <w:r w:rsidRPr="00AA3FA5">
        <w:rPr>
          <w:rFonts w:ascii="Times New Roman" w:hAnsi="Times New Roman" w:cs="Times New Roman"/>
          <w:sz w:val="24"/>
          <w:szCs w:val="24"/>
        </w:rPr>
        <w:t xml:space="preserve">Sākotnēji Pasūtītājs neplāno iegādāties licences savā īpašumā, izņemot gadījumu, ja nav citu licencēšanas iespēju. Pasūtītājam gan jābūt iespējai pārņemt vai iegādāties nepieciešamās licences, ja Pasūtītājs izvēlas pārvietot pakalpojumu uz savu infrastruktūru. </w:t>
      </w:r>
    </w:p>
    <w:p w:rsidR="00EF08C6" w:rsidRPr="00AA3FA5" w:rsidRDefault="002914D6" w:rsidP="00AA3FA5">
      <w:pPr>
        <w:autoSpaceDE w:val="0"/>
        <w:autoSpaceDN w:val="0"/>
        <w:adjustRightInd w:val="0"/>
        <w:spacing w:after="0" w:line="240" w:lineRule="auto"/>
        <w:ind w:firstLine="720"/>
        <w:jc w:val="both"/>
        <w:rPr>
          <w:rFonts w:ascii="Times New Roman" w:hAnsi="Times New Roman" w:cs="Times New Roman"/>
          <w:sz w:val="24"/>
          <w:szCs w:val="24"/>
        </w:rPr>
      </w:pPr>
      <w:r w:rsidRPr="00AA3FA5">
        <w:rPr>
          <w:rFonts w:ascii="Times New Roman" w:hAnsi="Times New Roman" w:cs="Times New Roman"/>
          <w:sz w:val="24"/>
          <w:szCs w:val="24"/>
        </w:rPr>
        <w:t>Pasūtītājs var izskatīt iespēju iegadāties licences savā īpašumā, ja šādi iespējams nodrošināt izdevīgāku pakalpojuma abonēšanas maksu.</w:t>
      </w:r>
    </w:p>
    <w:p w:rsidR="00EF08C6" w:rsidRPr="00AA3FA5" w:rsidRDefault="00C10665" w:rsidP="00AA3FA5">
      <w:pPr>
        <w:autoSpaceDE w:val="0"/>
        <w:autoSpaceDN w:val="0"/>
        <w:adjustRightInd w:val="0"/>
        <w:spacing w:after="0" w:line="240" w:lineRule="auto"/>
        <w:ind w:firstLine="720"/>
        <w:jc w:val="both"/>
        <w:rPr>
          <w:rFonts w:ascii="Times New Roman" w:hAnsi="Times New Roman" w:cs="Times New Roman"/>
          <w:sz w:val="24"/>
          <w:szCs w:val="24"/>
        </w:rPr>
      </w:pPr>
    </w:p>
    <w:p w:rsidR="00EF08C6" w:rsidRPr="009548A7" w:rsidRDefault="002914D6" w:rsidP="009548A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9. Jautājums: </w:t>
      </w:r>
      <w:r w:rsidRPr="009548A7">
        <w:rPr>
          <w:rFonts w:ascii="Times New Roman" w:hAnsi="Times New Roman" w:cs="Times New Roman"/>
          <w:b/>
          <w:sz w:val="24"/>
          <w:szCs w:val="24"/>
        </w:rPr>
        <w:t>Cenu Piedāvājumā ir norādīts, ka Aprēķinot Piedāvājuma kopējo summu cena par ĢIS pakalpojuma ikgadējo abonēšanu ir jānorāda par 5 gadiem un atsevišķi jānorāda ĢIS pakalpojuma ieviešanas izmaksas. Līgumā punktā 2.4 ir pieminēti arī Papildus pakalpojumi, kuri nav prasīti Cenu piedāvājumā. Attiecīgi būtu Lūgums detalizētāk paskaidrot norādāmās izmaksas Cenu piedāvājumā.</w:t>
      </w:r>
    </w:p>
    <w:p w:rsidR="00EF08C6" w:rsidRPr="00AA3FA5" w:rsidRDefault="00C10665" w:rsidP="00AA3FA5">
      <w:pPr>
        <w:autoSpaceDE w:val="0"/>
        <w:autoSpaceDN w:val="0"/>
        <w:adjustRightInd w:val="0"/>
        <w:spacing w:after="0" w:line="240" w:lineRule="auto"/>
        <w:jc w:val="both"/>
        <w:rPr>
          <w:rFonts w:ascii="Times New Roman" w:hAnsi="Times New Roman" w:cs="Times New Roman"/>
          <w:sz w:val="24"/>
          <w:szCs w:val="24"/>
        </w:rPr>
      </w:pPr>
    </w:p>
    <w:p w:rsidR="004C7C15" w:rsidRPr="004C7C15" w:rsidRDefault="002914D6" w:rsidP="00101C6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Atbilde: </w:t>
      </w:r>
      <w:r w:rsidRPr="004C7C15">
        <w:rPr>
          <w:rFonts w:ascii="Times New Roman" w:hAnsi="Times New Roman" w:cs="Times New Roman"/>
          <w:sz w:val="24"/>
          <w:szCs w:val="24"/>
        </w:rPr>
        <w:t xml:space="preserve">Konkrētajā procedūrā jānorāda un tiks vērtētas tikai Līguma projekta 1.1. punktā norādītie pakalpojumi, atbilstoši Cenu sarakstam (nolikuma 5. pielikums), izņemot nākotnes attīstības maksas vai citus neparedzamus maksājumus. </w:t>
      </w:r>
    </w:p>
    <w:p w:rsidR="004C7C15" w:rsidRPr="004C7C15" w:rsidRDefault="002914D6" w:rsidP="004C7C15">
      <w:pPr>
        <w:autoSpaceDE w:val="0"/>
        <w:autoSpaceDN w:val="0"/>
        <w:adjustRightInd w:val="0"/>
        <w:spacing w:after="0" w:line="240" w:lineRule="auto"/>
        <w:jc w:val="both"/>
        <w:rPr>
          <w:rFonts w:ascii="Times New Roman" w:hAnsi="Times New Roman" w:cs="Times New Roman"/>
          <w:sz w:val="24"/>
          <w:szCs w:val="24"/>
        </w:rPr>
      </w:pPr>
      <w:r w:rsidRPr="004C7C15">
        <w:rPr>
          <w:rFonts w:ascii="Times New Roman" w:hAnsi="Times New Roman" w:cs="Times New Roman"/>
          <w:sz w:val="24"/>
          <w:szCs w:val="24"/>
        </w:rPr>
        <w:t>Atgādinām - Cenu saraksta 3. pozīcijā jānorāda viena gada (abonēšanas) maksa.</w:t>
      </w:r>
    </w:p>
    <w:p w:rsidR="00EF08C6" w:rsidRPr="00AA3FA5" w:rsidRDefault="002914D6" w:rsidP="00100B2E">
      <w:pPr>
        <w:autoSpaceDE w:val="0"/>
        <w:autoSpaceDN w:val="0"/>
        <w:adjustRightInd w:val="0"/>
        <w:spacing w:after="0" w:line="240" w:lineRule="auto"/>
        <w:jc w:val="both"/>
        <w:rPr>
          <w:rFonts w:ascii="Times New Roman" w:hAnsi="Times New Roman" w:cs="Times New Roman"/>
          <w:b/>
          <w:sz w:val="24"/>
          <w:szCs w:val="24"/>
        </w:rPr>
      </w:pPr>
      <w:r w:rsidRPr="004C7C15">
        <w:rPr>
          <w:rFonts w:ascii="Times New Roman" w:hAnsi="Times New Roman" w:cs="Times New Roman"/>
          <w:sz w:val="24"/>
          <w:szCs w:val="24"/>
        </w:rPr>
        <w:t xml:space="preserve"> </w:t>
      </w:r>
      <w:r>
        <w:rPr>
          <w:rFonts w:ascii="Times New Roman" w:hAnsi="Times New Roman" w:cs="Times New Roman"/>
          <w:sz w:val="24"/>
          <w:szCs w:val="24"/>
        </w:rPr>
        <w:tab/>
      </w:r>
      <w:r w:rsidRPr="004C7C15">
        <w:rPr>
          <w:rFonts w:ascii="Times New Roman" w:hAnsi="Times New Roman" w:cs="Times New Roman"/>
          <w:sz w:val="24"/>
          <w:szCs w:val="24"/>
        </w:rPr>
        <w:t>Līguma 2.4. punktā norādītie papildu pakalpojumi nav jānorāda un tie netiks vērtēti. Ja Pretendents spēj novērtēt Papildus pakalpojumu iespējamās izmaksas no tehniskajā specifikācijā un Nolikumā pieejamās informācijas, tad tās var uzskaitīt atsevišķā cenrādī, ko pievieno Piedāvājumam.</w:t>
      </w:r>
    </w:p>
    <w:p w:rsidR="00100B2E" w:rsidRDefault="00C10665" w:rsidP="00101C6D">
      <w:pPr>
        <w:spacing w:after="200" w:line="264" w:lineRule="auto"/>
        <w:ind w:firstLine="720"/>
        <w:jc w:val="both"/>
        <w:rPr>
          <w:rFonts w:ascii="Times New Roman" w:hAnsi="Times New Roman" w:cs="Times New Roman"/>
          <w:sz w:val="24"/>
          <w:szCs w:val="24"/>
        </w:rPr>
      </w:pPr>
    </w:p>
    <w:p w:rsidR="00EF08C6" w:rsidRPr="00AA3FA5" w:rsidRDefault="002914D6" w:rsidP="00101C6D">
      <w:pPr>
        <w:spacing w:after="200" w:line="264" w:lineRule="auto"/>
        <w:ind w:firstLine="720"/>
        <w:jc w:val="both"/>
        <w:rPr>
          <w:rFonts w:ascii="Times New Roman" w:hAnsi="Times New Roman" w:cs="Times New Roman"/>
          <w:sz w:val="24"/>
          <w:szCs w:val="24"/>
        </w:rPr>
      </w:pPr>
      <w:r w:rsidRPr="00AA3FA5">
        <w:rPr>
          <w:rFonts w:ascii="Times New Roman" w:hAnsi="Times New Roman" w:cs="Times New Roman"/>
          <w:sz w:val="24"/>
          <w:szCs w:val="24"/>
        </w:rPr>
        <w:t xml:space="preserve">Informējam, ka </w:t>
      </w:r>
      <w:r w:rsidRPr="00AA3FA5">
        <w:rPr>
          <w:rFonts w:ascii="Times New Roman" w:hAnsi="Times New Roman" w:cs="Times New Roman"/>
          <w:iCs/>
          <w:color w:val="000000"/>
          <w:sz w:val="24"/>
          <w:szCs w:val="24"/>
        </w:rPr>
        <w:t xml:space="preserve">Piedāvājuma iesniegšanas termiņš tiek pagarināts </w:t>
      </w:r>
      <w:r w:rsidRPr="00AA3FA5">
        <w:rPr>
          <w:rFonts w:ascii="Times New Roman" w:hAnsi="Times New Roman" w:cs="Times New Roman"/>
          <w:color w:val="000000"/>
          <w:sz w:val="24"/>
          <w:szCs w:val="24"/>
        </w:rPr>
        <w:t xml:space="preserve">līdz </w:t>
      </w:r>
      <w:r w:rsidRPr="00AA3FA5">
        <w:rPr>
          <w:rFonts w:ascii="Times New Roman" w:hAnsi="Times New Roman" w:cs="Times New Roman"/>
          <w:b/>
          <w:color w:val="000000"/>
          <w:sz w:val="24"/>
          <w:szCs w:val="24"/>
          <w:u w:val="single"/>
        </w:rPr>
        <w:t>2019. gada 4. aprīlim pulksten 10.00</w:t>
      </w:r>
      <w:r w:rsidRPr="00AA3FA5">
        <w:rPr>
          <w:rFonts w:ascii="Times New Roman" w:hAnsi="Times New Roman" w:cs="Times New Roman"/>
          <w:color w:val="000000"/>
          <w:sz w:val="24"/>
          <w:szCs w:val="24"/>
        </w:rPr>
        <w:t xml:space="preserve"> (Latvijas laiks). Saņemtie piedāvājumi tiks atvērti 2019. gada 4. aprīlī pulksten 10.00 (tūlīt pēc piedāvājuma iesniegšanas termiņa beigām) AS "Augstsprieguma tīkls" 107.telpā, Dārzciema ielā 86, Rīgā, LV-1073.</w:t>
      </w:r>
      <w:r w:rsidRPr="00AA3FA5">
        <w:rPr>
          <w:rFonts w:ascii="Times New Roman" w:hAnsi="Times New Roman" w:cs="Times New Roman"/>
          <w:sz w:val="24"/>
          <w:szCs w:val="24"/>
        </w:rPr>
        <w:t xml:space="preserve"> Par derīgu tiks atzīts piedāvājuma nodrošinājums, kas sagatavots, ievērojot sākotnēji sarunu procedūras nolikumā noteikto piedāvājumu iesniegšanas termiņu.</w:t>
      </w:r>
    </w:p>
    <w:p w:rsidR="00EF08C6" w:rsidRPr="00AA3FA5" w:rsidRDefault="002914D6" w:rsidP="00AA3FA5">
      <w:pPr>
        <w:autoSpaceDE w:val="0"/>
        <w:autoSpaceDN w:val="0"/>
        <w:adjustRightInd w:val="0"/>
        <w:spacing w:after="0" w:line="240" w:lineRule="auto"/>
        <w:jc w:val="both"/>
        <w:rPr>
          <w:rFonts w:ascii="Times New Roman" w:hAnsi="Times New Roman" w:cs="Times New Roman"/>
          <w:b/>
          <w:sz w:val="24"/>
          <w:szCs w:val="24"/>
        </w:rPr>
      </w:pPr>
      <w:r w:rsidRPr="00AA3FA5">
        <w:rPr>
          <w:rFonts w:ascii="Times New Roman" w:hAnsi="Times New Roman" w:cs="Times New Roman"/>
          <w:b/>
          <w:sz w:val="24"/>
          <w:szCs w:val="24"/>
        </w:rPr>
        <w:tab/>
      </w:r>
    </w:p>
    <w:p w:rsidR="00EF08C6" w:rsidRPr="00AA3FA5" w:rsidRDefault="002914D6" w:rsidP="00AA3FA5">
      <w:pPr>
        <w:autoSpaceDE w:val="0"/>
        <w:autoSpaceDN w:val="0"/>
        <w:adjustRightInd w:val="0"/>
        <w:spacing w:after="0" w:line="240" w:lineRule="auto"/>
        <w:jc w:val="both"/>
        <w:rPr>
          <w:rFonts w:ascii="Times New Roman" w:hAnsi="Times New Roman" w:cs="Times New Roman"/>
          <w:sz w:val="24"/>
          <w:szCs w:val="24"/>
        </w:rPr>
      </w:pPr>
      <w:r w:rsidRPr="00AA3FA5">
        <w:rPr>
          <w:rFonts w:ascii="Times New Roman" w:hAnsi="Times New Roman" w:cs="Times New Roman"/>
          <w:sz w:val="24"/>
          <w:szCs w:val="24"/>
        </w:rPr>
        <w:t>Pielikumā:</w:t>
      </w:r>
    </w:p>
    <w:p w:rsidR="00EF08C6" w:rsidRPr="00AA3FA5" w:rsidRDefault="002914D6" w:rsidP="00AA3FA5">
      <w:pPr>
        <w:autoSpaceDE w:val="0"/>
        <w:autoSpaceDN w:val="0"/>
        <w:adjustRightInd w:val="0"/>
        <w:spacing w:after="0" w:line="240" w:lineRule="auto"/>
        <w:jc w:val="both"/>
        <w:rPr>
          <w:rFonts w:ascii="Times New Roman" w:hAnsi="Times New Roman" w:cs="Times New Roman"/>
          <w:sz w:val="24"/>
          <w:szCs w:val="24"/>
        </w:rPr>
      </w:pPr>
      <w:r w:rsidRPr="00AA3FA5">
        <w:rPr>
          <w:rFonts w:ascii="Times New Roman" w:hAnsi="Times New Roman" w:cs="Times New Roman"/>
          <w:sz w:val="24"/>
          <w:szCs w:val="24"/>
        </w:rPr>
        <w:t>Nolikuma 8.pielikums: ĢIS pakalpojuma izvērtēšanas scenārijs uz 9 lpp.</w:t>
      </w:r>
    </w:p>
    <w:p w:rsidR="00EF08C6" w:rsidRPr="00AA3FA5" w:rsidRDefault="002914D6" w:rsidP="00AA3FA5">
      <w:pPr>
        <w:autoSpaceDE w:val="0"/>
        <w:autoSpaceDN w:val="0"/>
        <w:adjustRightInd w:val="0"/>
        <w:spacing w:after="0" w:line="240" w:lineRule="auto"/>
        <w:jc w:val="both"/>
        <w:rPr>
          <w:rFonts w:ascii="Times New Roman" w:hAnsi="Times New Roman" w:cs="Times New Roman"/>
          <w:sz w:val="24"/>
          <w:szCs w:val="24"/>
        </w:rPr>
      </w:pPr>
      <w:r w:rsidRPr="00AA3FA5">
        <w:rPr>
          <w:rFonts w:ascii="Times New Roman" w:hAnsi="Times New Roman" w:cs="Times New Roman"/>
          <w:b/>
          <w:sz w:val="24"/>
          <w:szCs w:val="24"/>
        </w:rPr>
        <w:tab/>
      </w:r>
    </w:p>
    <w:p w:rsidR="00EF08C6" w:rsidRPr="00AA3FA5" w:rsidRDefault="00C10665" w:rsidP="00AA3FA5">
      <w:pPr>
        <w:pStyle w:val="BodyTextIndent"/>
        <w:spacing w:line="264" w:lineRule="auto"/>
        <w:rPr>
          <w:szCs w:val="24"/>
        </w:rPr>
      </w:pPr>
      <w:bookmarkStart w:id="0" w:name="_GoBack"/>
      <w:bookmarkEnd w:id="0"/>
    </w:p>
    <w:p w:rsidR="00EF08C6" w:rsidRPr="00AA3FA5" w:rsidRDefault="002914D6" w:rsidP="00EF08C6">
      <w:pPr>
        <w:rPr>
          <w:rFonts w:ascii="Times New Roman" w:hAnsi="Times New Roman" w:cs="Times New Roman"/>
          <w:sz w:val="24"/>
          <w:szCs w:val="24"/>
        </w:rPr>
      </w:pPr>
      <w:r>
        <w:rPr>
          <w:rFonts w:ascii="Times New Roman" w:hAnsi="Times New Roman" w:cs="Times New Roman"/>
          <w:sz w:val="24"/>
          <w:szCs w:val="24"/>
        </w:rPr>
        <w:t>Ar cieņu,</w:t>
      </w:r>
    </w:p>
    <w:p w:rsidR="00D413BB" w:rsidRPr="00AA3FA5" w:rsidRDefault="00C10665">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5182"/>
      </w:tblGrid>
      <w:tr w:rsidR="00B96510" w:rsidTr="00F94C42">
        <w:tc>
          <w:tcPr>
            <w:tcW w:w="3297" w:type="dxa"/>
          </w:tcPr>
          <w:p w:rsidR="005168A8" w:rsidRPr="00AA3FA5" w:rsidRDefault="002914D6">
            <w:pPr>
              <w:rPr>
                <w:rFonts w:ascii="Times New Roman" w:hAnsi="Times New Roman" w:cs="Times New Roman"/>
                <w:sz w:val="24"/>
                <w:szCs w:val="24"/>
              </w:rPr>
            </w:pPr>
            <w:r w:rsidRPr="00AA3FA5">
              <w:rPr>
                <w:rFonts w:ascii="Times New Roman" w:hAnsi="Times New Roman" w:cs="Times New Roman"/>
                <w:sz w:val="24"/>
                <w:szCs w:val="24"/>
              </w:rPr>
              <w:t>Valdes loceklis</w:t>
            </w:r>
          </w:p>
        </w:tc>
        <w:tc>
          <w:tcPr>
            <w:tcW w:w="5182" w:type="dxa"/>
          </w:tcPr>
          <w:p w:rsidR="005168A8" w:rsidRPr="00AA3FA5" w:rsidRDefault="002914D6" w:rsidP="009129E7">
            <w:pPr>
              <w:spacing w:after="120"/>
              <w:jc w:val="right"/>
              <w:rPr>
                <w:rFonts w:ascii="Times New Roman" w:hAnsi="Times New Roman" w:cs="Times New Roman"/>
                <w:sz w:val="24"/>
                <w:szCs w:val="24"/>
              </w:rPr>
            </w:pPr>
            <w:r w:rsidRPr="00AA3FA5">
              <w:rPr>
                <w:rFonts w:ascii="Times New Roman" w:hAnsi="Times New Roman" w:cs="Times New Roman"/>
                <w:sz w:val="24"/>
                <w:szCs w:val="24"/>
              </w:rPr>
              <w:t>Mārcis Kauliņš</w:t>
            </w:r>
          </w:p>
        </w:tc>
      </w:tr>
      <w:tr w:rsidR="00B96510" w:rsidTr="00F94C42">
        <w:tc>
          <w:tcPr>
            <w:tcW w:w="3297" w:type="dxa"/>
          </w:tcPr>
          <w:p w:rsidR="00F94C42" w:rsidRPr="00AA3FA5" w:rsidRDefault="00C10665">
            <w:pPr>
              <w:rPr>
                <w:rFonts w:ascii="Times New Roman" w:hAnsi="Times New Roman" w:cs="Times New Roman"/>
                <w:sz w:val="24"/>
                <w:szCs w:val="24"/>
              </w:rPr>
            </w:pPr>
          </w:p>
        </w:tc>
        <w:tc>
          <w:tcPr>
            <w:tcW w:w="5182" w:type="dxa"/>
          </w:tcPr>
          <w:p w:rsidR="00F94C42" w:rsidRPr="00AA3FA5" w:rsidRDefault="002914D6" w:rsidP="00F94C42">
            <w:pPr>
              <w:jc w:val="right"/>
              <w:rPr>
                <w:rFonts w:ascii="Times New Roman" w:hAnsi="Times New Roman" w:cs="Times New Roman"/>
                <w:sz w:val="24"/>
                <w:szCs w:val="24"/>
              </w:rPr>
            </w:pPr>
            <w:r w:rsidRPr="00AA3FA5">
              <w:rPr>
                <w:rFonts w:ascii="Times New Roman" w:hAnsi="Times New Roman" w:cs="Times New Roman"/>
                <w:sz w:val="24"/>
                <w:szCs w:val="24"/>
              </w:rPr>
              <w:t xml:space="preserve"> </w:t>
            </w:r>
          </w:p>
        </w:tc>
      </w:tr>
    </w:tbl>
    <w:p w:rsidR="00A27D87" w:rsidRPr="00AA3FA5" w:rsidRDefault="00C10665" w:rsidP="00A27D87">
      <w:pPr>
        <w:rPr>
          <w:rFonts w:ascii="Times New Roman" w:hAnsi="Times New Roman" w:cs="Times New Roman"/>
          <w:sz w:val="24"/>
          <w:szCs w:val="24"/>
        </w:rPr>
      </w:pPr>
    </w:p>
    <w:p w:rsidR="00A27D87" w:rsidRPr="00AA3FA5" w:rsidRDefault="002914D6" w:rsidP="00A27D87">
      <w:pPr>
        <w:rPr>
          <w:rFonts w:ascii="Times New Roman" w:hAnsi="Times New Roman" w:cs="Times New Roman"/>
          <w:sz w:val="20"/>
          <w:szCs w:val="20"/>
        </w:rPr>
      </w:pPr>
      <w:r w:rsidRPr="00AA3FA5">
        <w:rPr>
          <w:rFonts w:ascii="Times New Roman" w:hAnsi="Times New Roman" w:cs="Times New Roman"/>
          <w:sz w:val="20"/>
          <w:szCs w:val="20"/>
        </w:rPr>
        <w:t>Kundziņa 67725238</w:t>
      </w:r>
    </w:p>
    <w:sectPr w:rsidR="00A27D87" w:rsidRPr="00AA3FA5" w:rsidSect="00122FA1">
      <w:footerReference w:type="default" r:id="rId12"/>
      <w:headerReference w:type="first" r:id="rId13"/>
      <w:foot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CB7" w:rsidRDefault="002914D6">
      <w:pPr>
        <w:spacing w:after="0" w:line="240" w:lineRule="auto"/>
      </w:pPr>
      <w:r>
        <w:separator/>
      </w:r>
    </w:p>
  </w:endnote>
  <w:endnote w:type="continuationSeparator" w:id="0">
    <w:p w:rsidR="00A03CB7" w:rsidRDefault="00291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610224"/>
      <w:docPartObj>
        <w:docPartGallery w:val="Page Numbers (Bottom of Page)"/>
        <w:docPartUnique/>
      </w:docPartObj>
    </w:sdtPr>
    <w:sdtEndPr>
      <w:rPr>
        <w:rFonts w:ascii="Times New Roman" w:hAnsi="Times New Roman" w:cs="Times New Roman"/>
        <w:noProof/>
      </w:rPr>
    </w:sdtEndPr>
    <w:sdtContent>
      <w:p w:rsidR="002E38C2" w:rsidRPr="00A41BEB" w:rsidRDefault="002914D6">
        <w:pPr>
          <w:pStyle w:val="Footer"/>
          <w:jc w:val="right"/>
          <w:rPr>
            <w:rFonts w:ascii="Times New Roman" w:hAnsi="Times New Roman" w:cs="Times New Roman"/>
          </w:rPr>
        </w:pPr>
        <w:r w:rsidRPr="00A41BEB">
          <w:rPr>
            <w:rFonts w:ascii="Times New Roman" w:hAnsi="Times New Roman" w:cs="Times New Roman"/>
          </w:rPr>
          <w:fldChar w:fldCharType="begin"/>
        </w:r>
        <w:r w:rsidRPr="00A41BEB">
          <w:rPr>
            <w:rFonts w:ascii="Times New Roman" w:hAnsi="Times New Roman" w:cs="Times New Roman"/>
          </w:rPr>
          <w:instrText xml:space="preserve"> PAGE   \* MERGEFORMAT </w:instrText>
        </w:r>
        <w:r w:rsidRPr="00A41BEB">
          <w:rPr>
            <w:rFonts w:ascii="Times New Roman" w:hAnsi="Times New Roman" w:cs="Times New Roman"/>
          </w:rPr>
          <w:fldChar w:fldCharType="separate"/>
        </w:r>
        <w:r w:rsidR="00C10665">
          <w:rPr>
            <w:rFonts w:ascii="Times New Roman" w:hAnsi="Times New Roman" w:cs="Times New Roman"/>
            <w:noProof/>
          </w:rPr>
          <w:t>3</w:t>
        </w:r>
        <w:r w:rsidRPr="00A41BEB">
          <w:rPr>
            <w:rFonts w:ascii="Times New Roman" w:hAnsi="Times New Roman" w:cs="Times New Roman"/>
            <w:noProof/>
          </w:rPr>
          <w:fldChar w:fldCharType="end"/>
        </w:r>
      </w:p>
    </w:sdtContent>
  </w:sdt>
  <w:p w:rsidR="00A16205" w:rsidRDefault="00C10665" w:rsidP="00A16205">
    <w:pPr>
      <w:pStyle w:val="Footer"/>
      <w:jc w:val="center"/>
    </w:pPr>
  </w:p>
  <w:p w:rsidR="00B96510" w:rsidRDefault="002914D6">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E5" w:rsidRDefault="002914D6">
    <w:pPr>
      <w:pStyle w:val="Footer"/>
    </w:pPr>
    <w:r w:rsidRPr="00D52DE5">
      <w:rPr>
        <w:noProof/>
        <w:lang w:eastAsia="lv-LV"/>
      </w:rPr>
      <w:drawing>
        <wp:anchor distT="0" distB="0" distL="114300" distR="114300" simplePos="0" relativeHeight="251660288" behindDoc="1" locked="0" layoutInCell="1" allowOverlap="1">
          <wp:simplePos x="0" y="0"/>
          <wp:positionH relativeFrom="column">
            <wp:posOffset>5034516</wp:posOffset>
          </wp:positionH>
          <wp:positionV relativeFrom="paragraph">
            <wp:posOffset>-257884</wp:posOffset>
          </wp:positionV>
          <wp:extent cx="648586" cy="681591"/>
          <wp:effectExtent l="0" t="0" r="0" b="9525"/>
          <wp:wrapNone/>
          <wp:docPr id="2" name="Picture 2" descr="C:\Users\Austris\Desktop\ast-ultimate-assets-pack-for-letter\veidlapa-i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79401" name="Picture 1" descr="C:\Users\Austris\Desktop\ast-ultimate-assets-pack-for-letter\veidlapa-is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47700" cy="676275"/>
                  </a:xfrm>
                  <a:prstGeom prst="rect">
                    <a:avLst/>
                  </a:prstGeom>
                  <a:noFill/>
                  <a:ln>
                    <a:noFill/>
                  </a:ln>
                </pic:spPr>
              </pic:pic>
            </a:graphicData>
          </a:graphic>
        </wp:anchor>
      </w:drawing>
    </w:r>
  </w:p>
  <w:p w:rsidR="00B96510" w:rsidRDefault="002914D6">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CB7" w:rsidRDefault="002914D6">
      <w:pPr>
        <w:spacing w:after="0" w:line="240" w:lineRule="auto"/>
      </w:pPr>
      <w:r>
        <w:separator/>
      </w:r>
    </w:p>
  </w:footnote>
  <w:footnote w:type="continuationSeparator" w:id="0">
    <w:p w:rsidR="00A03CB7" w:rsidRDefault="00291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FA1" w:rsidRDefault="002914D6" w:rsidP="00122FA1">
    <w:pPr>
      <w:pStyle w:val="Header"/>
    </w:pPr>
    <w:r>
      <w:rPr>
        <w:noProof/>
        <w:lang w:eastAsia="lv-LV"/>
      </w:rPr>
      <w:drawing>
        <wp:anchor distT="0" distB="0" distL="114300" distR="114300" simplePos="0" relativeHeight="251659264" behindDoc="0" locked="0" layoutInCell="1" allowOverlap="1">
          <wp:simplePos x="0" y="0"/>
          <wp:positionH relativeFrom="column">
            <wp:posOffset>1971675</wp:posOffset>
          </wp:positionH>
          <wp:positionV relativeFrom="paragraph">
            <wp:posOffset>245745</wp:posOffset>
          </wp:positionV>
          <wp:extent cx="3800475" cy="409575"/>
          <wp:effectExtent l="0" t="0" r="9525" b="9525"/>
          <wp:wrapNone/>
          <wp:docPr id="12" name="Picture 12" descr="C:\Users\Austris\Desktop\ast-ultimate-assets-pack-for-letter\veidlapa-rekvizi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852796" name="Picture 5" descr="C:\Users\Austris\Desktop\ast-ultimate-assets-pack-for-letter\veidlapa-rekviziti.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800475" cy="409575"/>
                  </a:xfrm>
                  <a:prstGeom prst="rect">
                    <a:avLst/>
                  </a:prstGeom>
                  <a:noFill/>
                  <a:ln>
                    <a:noFill/>
                  </a:ln>
                </pic:spPr>
              </pic:pic>
            </a:graphicData>
          </a:graphic>
        </wp:anchor>
      </w:drawing>
    </w:r>
    <w:r>
      <w:rPr>
        <w:noProof/>
        <w:lang w:eastAsia="lv-LV"/>
      </w:rPr>
      <w:drawing>
        <wp:anchor distT="0" distB="0" distL="114300" distR="114300" simplePos="0" relativeHeight="251658240" behindDoc="1" locked="0" layoutInCell="1" allowOverlap="1">
          <wp:simplePos x="0" y="0"/>
          <wp:positionH relativeFrom="column">
            <wp:posOffset>-19050</wp:posOffset>
          </wp:positionH>
          <wp:positionV relativeFrom="paragraph">
            <wp:posOffset>245745</wp:posOffset>
          </wp:positionV>
          <wp:extent cx="857250" cy="381000"/>
          <wp:effectExtent l="0" t="0" r="0" b="0"/>
          <wp:wrapThrough wrapText="bothSides">
            <wp:wrapPolygon edited="0">
              <wp:start x="0" y="0"/>
              <wp:lineTo x="0" y="20520"/>
              <wp:lineTo x="21120" y="20520"/>
              <wp:lineTo x="21120" y="0"/>
              <wp:lineTo x="0" y="0"/>
            </wp:wrapPolygon>
          </wp:wrapThrough>
          <wp:docPr id="13" name="Picture 13" descr="C:\Users\Austris\Desktop\ast-ultimate-assets-pack-for-letter\veidlap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466904" name="Picture 3" descr="C:\Users\Austris\Desktop\ast-ultimate-assets-pack-for-letter\veidlapa-logo.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857250" cy="381000"/>
                  </a:xfrm>
                  <a:prstGeom prst="rect">
                    <a:avLst/>
                  </a:prstGeom>
                  <a:noFill/>
                  <a:ln>
                    <a:noFill/>
                  </a:ln>
                </pic:spPr>
              </pic:pic>
            </a:graphicData>
          </a:graphic>
        </wp:anchor>
      </w:drawing>
    </w:r>
  </w:p>
  <w:p w:rsidR="00122FA1" w:rsidRDefault="00C106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967C1"/>
    <w:multiLevelType w:val="hybridMultilevel"/>
    <w:tmpl w:val="53485508"/>
    <w:lvl w:ilvl="0" w:tplc="5E9CF2C6">
      <w:start w:val="1"/>
      <w:numFmt w:val="decimal"/>
      <w:lvlText w:val="%1."/>
      <w:lvlJc w:val="left"/>
      <w:pPr>
        <w:ind w:left="720" w:hanging="360"/>
      </w:pPr>
      <w:rPr>
        <w:rFonts w:hint="default"/>
      </w:rPr>
    </w:lvl>
    <w:lvl w:ilvl="1" w:tplc="25B87E44" w:tentative="1">
      <w:start w:val="1"/>
      <w:numFmt w:val="lowerLetter"/>
      <w:lvlText w:val="%2."/>
      <w:lvlJc w:val="left"/>
      <w:pPr>
        <w:ind w:left="1440" w:hanging="360"/>
      </w:pPr>
    </w:lvl>
    <w:lvl w:ilvl="2" w:tplc="8506AA98" w:tentative="1">
      <w:start w:val="1"/>
      <w:numFmt w:val="lowerRoman"/>
      <w:lvlText w:val="%3."/>
      <w:lvlJc w:val="right"/>
      <w:pPr>
        <w:ind w:left="2160" w:hanging="180"/>
      </w:pPr>
    </w:lvl>
    <w:lvl w:ilvl="3" w:tplc="05DC0BAA" w:tentative="1">
      <w:start w:val="1"/>
      <w:numFmt w:val="decimal"/>
      <w:lvlText w:val="%4."/>
      <w:lvlJc w:val="left"/>
      <w:pPr>
        <w:ind w:left="2880" w:hanging="360"/>
      </w:pPr>
    </w:lvl>
    <w:lvl w:ilvl="4" w:tplc="E3EC6B66" w:tentative="1">
      <w:start w:val="1"/>
      <w:numFmt w:val="lowerLetter"/>
      <w:lvlText w:val="%5."/>
      <w:lvlJc w:val="left"/>
      <w:pPr>
        <w:ind w:left="3600" w:hanging="360"/>
      </w:pPr>
    </w:lvl>
    <w:lvl w:ilvl="5" w:tplc="937EAEF8" w:tentative="1">
      <w:start w:val="1"/>
      <w:numFmt w:val="lowerRoman"/>
      <w:lvlText w:val="%6."/>
      <w:lvlJc w:val="right"/>
      <w:pPr>
        <w:ind w:left="4320" w:hanging="180"/>
      </w:pPr>
    </w:lvl>
    <w:lvl w:ilvl="6" w:tplc="026EAB6A" w:tentative="1">
      <w:start w:val="1"/>
      <w:numFmt w:val="decimal"/>
      <w:lvlText w:val="%7."/>
      <w:lvlJc w:val="left"/>
      <w:pPr>
        <w:ind w:left="5040" w:hanging="360"/>
      </w:pPr>
    </w:lvl>
    <w:lvl w:ilvl="7" w:tplc="97645928" w:tentative="1">
      <w:start w:val="1"/>
      <w:numFmt w:val="lowerLetter"/>
      <w:lvlText w:val="%8."/>
      <w:lvlJc w:val="left"/>
      <w:pPr>
        <w:ind w:left="5760" w:hanging="360"/>
      </w:pPr>
    </w:lvl>
    <w:lvl w:ilvl="8" w:tplc="D676F46E"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10"/>
    <w:rsid w:val="002914D6"/>
    <w:rsid w:val="00A03CB7"/>
    <w:rsid w:val="00B96510"/>
    <w:rsid w:val="00C106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2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6205"/>
  </w:style>
  <w:style w:type="paragraph" w:styleId="Footer">
    <w:name w:val="footer"/>
    <w:basedOn w:val="Normal"/>
    <w:link w:val="FooterChar"/>
    <w:uiPriority w:val="99"/>
    <w:unhideWhenUsed/>
    <w:rsid w:val="00A162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6205"/>
  </w:style>
  <w:style w:type="table" w:styleId="TableGrid">
    <w:name w:val="Table Grid"/>
    <w:basedOn w:val="TableNormal"/>
    <w:uiPriority w:val="39"/>
    <w:rsid w:val="00516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F08C6"/>
    <w:pPr>
      <w:widowControl w:val="0"/>
      <w:spacing w:after="120" w:line="240" w:lineRule="auto"/>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F08C6"/>
    <w:rPr>
      <w:rFonts w:ascii="Times New Roman" w:eastAsia="Times New Roman" w:hAnsi="Times New Roman" w:cs="Times New Roman"/>
      <w:sz w:val="24"/>
      <w:szCs w:val="20"/>
    </w:rPr>
  </w:style>
  <w:style w:type="paragraph" w:styleId="ListParagraph">
    <w:name w:val="List Paragraph"/>
    <w:basedOn w:val="Normal"/>
    <w:uiPriority w:val="34"/>
    <w:qFormat/>
    <w:rsid w:val="00EF08C6"/>
    <w:pPr>
      <w:spacing w:after="200" w:line="276" w:lineRule="auto"/>
      <w:ind w:left="720"/>
      <w:contextualSpacing/>
    </w:pPr>
  </w:style>
  <w:style w:type="character" w:styleId="Hyperlink">
    <w:name w:val="Hyperlink"/>
    <w:basedOn w:val="DefaultParagraphFont"/>
    <w:uiPriority w:val="99"/>
    <w:unhideWhenUsed/>
    <w:rsid w:val="00EF08C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2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6205"/>
  </w:style>
  <w:style w:type="paragraph" w:styleId="Footer">
    <w:name w:val="footer"/>
    <w:basedOn w:val="Normal"/>
    <w:link w:val="FooterChar"/>
    <w:uiPriority w:val="99"/>
    <w:unhideWhenUsed/>
    <w:rsid w:val="00A162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6205"/>
  </w:style>
  <w:style w:type="table" w:styleId="TableGrid">
    <w:name w:val="Table Grid"/>
    <w:basedOn w:val="TableNormal"/>
    <w:uiPriority w:val="39"/>
    <w:rsid w:val="00516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F08C6"/>
    <w:pPr>
      <w:widowControl w:val="0"/>
      <w:spacing w:after="120" w:line="240" w:lineRule="auto"/>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F08C6"/>
    <w:rPr>
      <w:rFonts w:ascii="Times New Roman" w:eastAsia="Times New Roman" w:hAnsi="Times New Roman" w:cs="Times New Roman"/>
      <w:sz w:val="24"/>
      <w:szCs w:val="20"/>
    </w:rPr>
  </w:style>
  <w:style w:type="paragraph" w:styleId="ListParagraph">
    <w:name w:val="List Paragraph"/>
    <w:basedOn w:val="Normal"/>
    <w:uiPriority w:val="34"/>
    <w:qFormat/>
    <w:rsid w:val="00EF08C6"/>
    <w:pPr>
      <w:spacing w:after="200" w:line="276" w:lineRule="auto"/>
      <w:ind w:left="720"/>
      <w:contextualSpacing/>
    </w:pPr>
  </w:style>
  <w:style w:type="character" w:styleId="Hyperlink">
    <w:name w:val="Hyperlink"/>
    <w:basedOn w:val="DefaultParagraphFont"/>
    <w:uiPriority w:val="99"/>
    <w:unhideWhenUsed/>
    <w:rsid w:val="00EF08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docs.microsoft.com/en-us/azure/active-directory/hybrid/how-to-connect-healthadf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B45849EF0276F42A6CE70F2ACFEAEBB" ma:contentTypeVersion="0" ma:contentTypeDescription="Izveidot jaunu dokumentu." ma:contentTypeScope="" ma:versionID="1a72dbca0b086828b1abafeacfa4b341">
  <xsd:schema xmlns:xsd="http://www.w3.org/2001/XMLSchema" xmlns:xs="http://www.w3.org/2001/XMLSchema" xmlns:p="http://schemas.microsoft.com/office/2006/metadata/properties" targetNamespace="http://schemas.microsoft.com/office/2006/metadata/properties" ma:root="true" ma:fieldsID="ef6bef76b1948cc14eb045bdecfa38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B92F3-969D-46A6-B521-F3301B5301BC}">
  <ds:schemaRefs>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62DEBC7-D56F-4823-A4C9-4B6CBCE04D8A}">
  <ds:schemaRefs>
    <ds:schemaRef ds:uri="http://schemas.microsoft.com/sharepoint/v3/contenttype/forms"/>
  </ds:schemaRefs>
</ds:datastoreItem>
</file>

<file path=customXml/itemProps3.xml><?xml version="1.0" encoding="utf-8"?>
<ds:datastoreItem xmlns:ds="http://schemas.openxmlformats.org/officeDocument/2006/customXml" ds:itemID="{D08B5AE7-B5D3-4913-A0E7-1CAA2DB59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4066</Words>
  <Characters>2318</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2019-03-25T07:05:00Z</dcterms:created>
  <dcterms:modified xsi:type="dcterms:W3CDTF">2019-03-25T07:07:00Z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0x010100EB45849EF0276F42A6CE70F2ACFEAEBB</vt:lpwstr>
  </property>
</Properties>
</file>