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23353" w14:textId="36F04AB0" w:rsidR="002439D1" w:rsidRDefault="002439D1" w:rsidP="002439D1">
      <w:pPr>
        <w:jc w:val="both"/>
      </w:pPr>
      <w:r>
        <w:t>Latvijas pārvades sistēmas operators AS "Augstsprieguma tīkls"</w:t>
      </w:r>
      <w:r>
        <w:t xml:space="preserve"> </w:t>
      </w:r>
      <w:r>
        <w:t xml:space="preserve">(turpmāk-AST) atbilstoši Komisijas Regulas (ES) 2017/2195 (2017. gada 23. novembris), ar ko izveido elektroenerģijas balansēšanas vadlīnijas, (turpmāk- EBGL) 18. pantam izstrādā priekšlikumus </w:t>
      </w:r>
      <w:bookmarkStart w:id="0" w:name="_Hlk161137711"/>
      <w:r>
        <w:t>regulēšanas pakalpojuma sniedzējiem piemērojamiem noteikumiem un nosacījumiem</w:t>
      </w:r>
      <w:bookmarkEnd w:id="0"/>
      <w:r>
        <w:t>.</w:t>
      </w:r>
    </w:p>
    <w:p w14:paraId="5DC371C4" w14:textId="39A45443" w:rsidR="004D67DA" w:rsidRDefault="002439D1" w:rsidP="002439D1">
      <w:pPr>
        <w:jc w:val="both"/>
      </w:pPr>
      <w:r w:rsidRPr="002439D1">
        <w:t>2021. gada 21. janvārī AS "Augstsprieguma tīkls" kopā ar pārējiem Baltijas pārvades sistēmu operatoriem (PSO) publicēja Baltijas slodzes un frekvences kontroles</w:t>
      </w:r>
      <w:r>
        <w:t xml:space="preserve"> (turpmāk - LFC)</w:t>
      </w:r>
      <w:r w:rsidRPr="002439D1">
        <w:t xml:space="preserve"> bloka koncepciju, kurā bija plānots izveidot Baltijas LFC bloku ar trim LFC zonām, kas pārstāvētu katru no trīs PSO un nodrošinātu sadarbību Baltijas LFC balansēšanas jaudas tirgū. Lai nodrošinātu vienotus balansēšanas tirgus noteikumus Baltijas regulēšanas pakalpojuma sniedzējiem Baltijas LFC blokā, Baltijas PSO sagatavojuši priekšlikumu Baltijas balansēšanas jaudas tirgus noteikumiem saskaņā ar Eiropas Komisijas 2017. gada 23. novembra Regulas (ES) 2017/2195 ar ko nosaka elektroenerģijas balansēšanas vadlīnijas 33. panta 1. punktu un 38. panta 1. punktu</w:t>
      </w:r>
      <w:r>
        <w:t xml:space="preserve">, kas pieejams </w:t>
      </w:r>
      <w:hyperlink r:id="rId6" w:history="1">
        <w:commentRangeStart w:id="1"/>
        <w:r w:rsidRPr="00784568">
          <w:rPr>
            <w:rStyle w:val="Hyperlink"/>
          </w:rPr>
          <w:t>šeit</w:t>
        </w:r>
        <w:commentRangeEnd w:id="1"/>
        <w:r w:rsidRPr="00784568">
          <w:rPr>
            <w:rStyle w:val="Hyperlink"/>
            <w:sz w:val="16"/>
            <w:szCs w:val="16"/>
          </w:rPr>
          <w:commentReference w:id="1"/>
        </w:r>
      </w:hyperlink>
      <w:r>
        <w:t xml:space="preserve">. </w:t>
      </w:r>
    </w:p>
    <w:p w14:paraId="4BF2A3E5" w14:textId="30D3FA36" w:rsidR="002439D1" w:rsidRDefault="002439D1" w:rsidP="002439D1">
      <w:pPr>
        <w:jc w:val="both"/>
      </w:pPr>
      <w:r>
        <w:t xml:space="preserve">Balansēšanas jaudas tirgus ieviešana </w:t>
      </w:r>
      <w:r>
        <w:t xml:space="preserve">rada nepieciešamību izstrādāt grozījumus piemērojamajos noteikumos un nosacījumos regulēšanas pakalpojuma sniedzējiem, līdz ar to AST ir sagatavojis </w:t>
      </w:r>
      <w:bookmarkStart w:id="2" w:name="_Hlk161137659"/>
      <w:r>
        <w:t xml:space="preserve">priekšlikumu </w:t>
      </w:r>
      <w:r w:rsidRPr="00B230D6">
        <w:t>Sabiedrisko pakalpojumu regulēšanas komisijas 2013. gada 26. jūnija lēmum</w:t>
      </w:r>
      <w:r>
        <w:t>a</w:t>
      </w:r>
      <w:r w:rsidRPr="00B230D6">
        <w:t xml:space="preserve"> Nr. 1/4 "Tīkla kodekss elektroenerģijas nozarē"</w:t>
      </w:r>
      <w:r>
        <w:t xml:space="preserve"> </w:t>
      </w:r>
      <w:r w:rsidR="001B291A">
        <w:t xml:space="preserve">(turpmāk Tīkla kodekss) </w:t>
      </w:r>
      <w:r>
        <w:t xml:space="preserve">grozījumiem </w:t>
      </w:r>
      <w:bookmarkStart w:id="3" w:name="_Hlk161137985"/>
      <w:bookmarkEnd w:id="2"/>
      <w:r>
        <w:t>(turpmāk – Tīkla kodeksa grozījumu priekšlikums)</w:t>
      </w:r>
      <w:bookmarkEnd w:id="3"/>
      <w:r>
        <w:t xml:space="preserve"> un nodod to publiskajām konsultācijām.</w:t>
      </w:r>
    </w:p>
    <w:p w14:paraId="7785A7D8" w14:textId="49084E93" w:rsidR="001B291A" w:rsidRDefault="001B291A" w:rsidP="00784568">
      <w:pPr>
        <w:jc w:val="both"/>
      </w:pPr>
      <w:r>
        <w:t xml:space="preserve">AST aicina tirgus dalībniekus un citas ieinteresētās puses piedalīties publiskajās konsultācijās, komentārus un priekšlikumus iesniedzot izmantojot </w:t>
      </w:r>
      <w:r w:rsidR="00784568">
        <w:t xml:space="preserve">pielikumā pievienoto </w:t>
      </w:r>
      <w:r>
        <w:t xml:space="preserve"> formu un iesūtot to uz e-pasta adresi ast@ast.lv līdz 2024. gada 15. </w:t>
      </w:r>
      <w:r>
        <w:t>augustam</w:t>
      </w:r>
      <w:r>
        <w:t>.</w:t>
      </w:r>
    </w:p>
    <w:p w14:paraId="069A5C18" w14:textId="5D84F3B7" w:rsidR="002439D1" w:rsidRDefault="001B291A" w:rsidP="00784568">
      <w:pPr>
        <w:jc w:val="both"/>
      </w:pPr>
      <w:r>
        <w:t>Pēc publisko konsultāciju noslēgšanās AST izskatīs publisko konsultāciju rezultātus un sagatavos priekšlikumu Tīkla kodeksa grozījumiem iesniegšanai Sabiedrisko pakalpojumu regulēšanas komisijai.</w:t>
      </w:r>
    </w:p>
    <w:p w14:paraId="79AA7060" w14:textId="77777777" w:rsidR="001B291A" w:rsidRDefault="001B291A"/>
    <w:p w14:paraId="57F247B5" w14:textId="68864EC1" w:rsidR="002439D1" w:rsidRPr="001B291A" w:rsidRDefault="002439D1" w:rsidP="001B291A">
      <w:pPr>
        <w:jc w:val="center"/>
        <w:rPr>
          <w:b/>
          <w:bCs/>
          <w:sz w:val="24"/>
          <w:szCs w:val="24"/>
        </w:rPr>
      </w:pPr>
      <w:r w:rsidRPr="001B291A">
        <w:rPr>
          <w:b/>
          <w:bCs/>
          <w:sz w:val="24"/>
          <w:szCs w:val="24"/>
        </w:rPr>
        <w:t>Tīkla kodeksa grozījumu priekšlikums</w:t>
      </w:r>
    </w:p>
    <w:p w14:paraId="667954AA" w14:textId="17F4ADA6" w:rsidR="0021074E" w:rsidRDefault="0021074E" w:rsidP="002439D1">
      <w:pPr>
        <w:jc w:val="both"/>
        <w:rPr>
          <w:b/>
          <w:bCs/>
        </w:rPr>
      </w:pPr>
      <w:r>
        <w:rPr>
          <w:b/>
          <w:bCs/>
        </w:rPr>
        <w:t>Priekšlikums veidots par pamata redakciju pieņemot priekšlikumu Tīkla kodeksa grozījumiem, k</w:t>
      </w:r>
      <w:r w:rsidR="00166726">
        <w:rPr>
          <w:b/>
          <w:bCs/>
        </w:rPr>
        <w:t>urš tika</w:t>
      </w:r>
      <w:r>
        <w:rPr>
          <w:b/>
          <w:bCs/>
        </w:rPr>
        <w:t xml:space="preserve"> izstrādāts saistībā ar izmaiņām balansēšanas enerģijas tirgū</w:t>
      </w:r>
      <w:r w:rsidR="00166726">
        <w:rPr>
          <w:b/>
          <w:bCs/>
        </w:rPr>
        <w:t xml:space="preserve"> un </w:t>
      </w:r>
      <w:r w:rsidR="00166726">
        <w:rPr>
          <w:b/>
          <w:bCs/>
        </w:rPr>
        <w:t xml:space="preserve">nodots </w:t>
      </w:r>
      <w:r>
        <w:rPr>
          <w:b/>
          <w:bCs/>
        </w:rPr>
        <w:t>publiskām konsultācijām no 2024. gada 13. marta līdz 2024. gada 15. aprīlim</w:t>
      </w:r>
      <w:r w:rsidR="00166726">
        <w:rPr>
          <w:b/>
          <w:bCs/>
        </w:rPr>
        <w:t xml:space="preserve">. Pēc publisko konsultāciju rezultātu apkopošanas </w:t>
      </w:r>
      <w:r>
        <w:rPr>
          <w:b/>
          <w:bCs/>
        </w:rPr>
        <w:t xml:space="preserve">iesniegts </w:t>
      </w:r>
      <w:r w:rsidRPr="0021074E">
        <w:rPr>
          <w:b/>
          <w:bCs/>
        </w:rPr>
        <w:t>Sabiedrisko pakalpojumu regulēšanas komisija</w:t>
      </w:r>
      <w:r>
        <w:rPr>
          <w:b/>
          <w:bCs/>
        </w:rPr>
        <w:t xml:space="preserve">i šī gada 2. maijā. </w:t>
      </w:r>
    </w:p>
    <w:p w14:paraId="1C201DB7" w14:textId="45E1722F" w:rsidR="002439D1" w:rsidRPr="002439D1" w:rsidRDefault="002439D1" w:rsidP="002439D1">
      <w:pPr>
        <w:jc w:val="both"/>
      </w:pPr>
      <w:r>
        <w:t xml:space="preserve">Grozīt </w:t>
      </w:r>
      <w:r w:rsidR="00456473" w:rsidRPr="0021074E">
        <w:t xml:space="preserve">Tīkla kodeksa </w:t>
      </w:r>
      <w:r>
        <w:t>2. punktā iekļaut</w:t>
      </w:r>
      <w:r w:rsidR="0021074E">
        <w:t>os terminus</w:t>
      </w:r>
      <w:r w:rsidR="00456473">
        <w:t xml:space="preserve"> </w:t>
      </w:r>
      <w:r>
        <w:t>sekojoši</w:t>
      </w:r>
      <w:r w:rsidR="0021074E">
        <w:t>:</w:t>
      </w:r>
    </w:p>
    <w:p w14:paraId="310400B6" w14:textId="47329622" w:rsidR="002439D1" w:rsidRDefault="002439D1" w:rsidP="002439D1">
      <w:pPr>
        <w:shd w:val="clear" w:color="auto" w:fill="FFFFFF"/>
        <w:spacing w:after="0" w:line="293" w:lineRule="atLeast"/>
        <w:ind w:left="600" w:firstLine="300"/>
        <w:jc w:val="both"/>
        <w:rPr>
          <w:rFonts w:ascii="Arial" w:hAnsi="Arial"/>
          <w:color w:val="414142"/>
          <w:sz w:val="20"/>
        </w:rPr>
      </w:pPr>
      <w:r w:rsidRPr="00CE1B0E">
        <w:rPr>
          <w:rFonts w:ascii="Arial" w:eastAsia="Times New Roman" w:hAnsi="Arial" w:cs="Arial"/>
          <w:color w:val="414142"/>
          <w:sz w:val="20"/>
          <w:szCs w:val="20"/>
          <w:lang w:eastAsia="lv-LV"/>
        </w:rPr>
        <w:t>2.1. aizsardzības pa</w:t>
      </w:r>
      <w:r w:rsidRPr="00FD7080">
        <w:rPr>
          <w:rFonts w:ascii="Arial" w:eastAsia="Times New Roman" w:hAnsi="Arial" w:cs="Arial"/>
          <w:color w:val="414142"/>
          <w:sz w:val="20"/>
          <w:szCs w:val="20"/>
          <w:lang w:eastAsia="lv-LV"/>
        </w:rPr>
        <w:t xml:space="preserve">kalpojums – pakalpojums, ar kuru tiek nodrošināta </w:t>
      </w:r>
      <w:r w:rsidRPr="00FD7080">
        <w:rPr>
          <w:rFonts w:ascii="Arial" w:hAnsi="Arial"/>
          <w:color w:val="414142"/>
          <w:sz w:val="20"/>
        </w:rPr>
        <w:t xml:space="preserve">jaudas rezerve </w:t>
      </w:r>
      <w:r w:rsidRPr="00EF46BA">
        <w:rPr>
          <w:rFonts w:ascii="Arial" w:hAnsi="Arial"/>
          <w:color w:val="0F9ED5" w:themeColor="accent4"/>
          <w:sz w:val="20"/>
          <w:u w:val="single"/>
        </w:rPr>
        <w:t>sistēmas drošumam</w:t>
      </w:r>
      <w:r w:rsidRPr="00EF46BA">
        <w:rPr>
          <w:rFonts w:ascii="Arial" w:hAnsi="Arial"/>
          <w:color w:val="0F9ED5" w:themeColor="accent4"/>
          <w:sz w:val="20"/>
        </w:rPr>
        <w:t xml:space="preserve"> </w:t>
      </w:r>
      <w:r w:rsidRPr="00FD7080">
        <w:rPr>
          <w:rFonts w:ascii="Arial" w:hAnsi="Arial"/>
          <w:color w:val="414142"/>
          <w:sz w:val="20"/>
        </w:rPr>
        <w:t>vai elektroietaišu automātiku darbības uzturēšana elektroenerģijas sistēmas drošumam;</w:t>
      </w:r>
    </w:p>
    <w:p w14:paraId="0A225221" w14:textId="77777777" w:rsidR="002439D1" w:rsidRDefault="002439D1" w:rsidP="002439D1">
      <w:pPr>
        <w:shd w:val="clear" w:color="auto" w:fill="FFFFFF"/>
        <w:spacing w:after="0" w:line="293" w:lineRule="atLeast"/>
        <w:ind w:left="600" w:firstLine="300"/>
        <w:jc w:val="both"/>
        <w:rPr>
          <w:rFonts w:ascii="Arial" w:hAnsi="Arial"/>
          <w:color w:val="414142"/>
          <w:sz w:val="20"/>
        </w:rPr>
      </w:pPr>
    </w:p>
    <w:p w14:paraId="04DF534C" w14:textId="113FB337" w:rsidR="002439D1" w:rsidRDefault="002439D1" w:rsidP="002439D1">
      <w:pPr>
        <w:shd w:val="clear" w:color="auto" w:fill="FFFFFF" w:themeFill="background1"/>
        <w:spacing w:after="0" w:line="293" w:lineRule="atLeast"/>
        <w:ind w:left="600"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 xml:space="preserve">2.33. regulēšanas pakalpojums – </w:t>
      </w:r>
      <w:proofErr w:type="spellStart"/>
      <w:r w:rsidRPr="00CE1B0E">
        <w:rPr>
          <w:rFonts w:ascii="Arial" w:eastAsia="Times New Roman" w:hAnsi="Arial" w:cs="Arial"/>
          <w:color w:val="414142"/>
          <w:sz w:val="20"/>
          <w:szCs w:val="20"/>
          <w:lang w:eastAsia="lv-LV"/>
        </w:rPr>
        <w:t>palīgpakalpojums</w:t>
      </w:r>
      <w:proofErr w:type="spellEnd"/>
      <w:r w:rsidRPr="00CE1B0E">
        <w:rPr>
          <w:rFonts w:ascii="Arial" w:eastAsia="Times New Roman" w:hAnsi="Arial" w:cs="Arial"/>
          <w:color w:val="414142"/>
          <w:sz w:val="20"/>
          <w:szCs w:val="20"/>
          <w:lang w:eastAsia="lv-LV"/>
        </w:rPr>
        <w:t xml:space="preserve">, kura ietvaros balansēšanas tirgus dalībnieki līgumā noteiktā kārtībā palielina vai samazina elektroenerģijas ražošanu to pārziņā esošajās elektroenerģijas ražošanas iekārtās, piegādā uzkrāto </w:t>
      </w:r>
      <w:r w:rsidRPr="00CE1B0E">
        <w:rPr>
          <w:rFonts w:ascii="Arial" w:eastAsia="Times New Roman" w:hAnsi="Arial" w:cs="Arial"/>
          <w:color w:val="414142"/>
          <w:sz w:val="20"/>
          <w:szCs w:val="20"/>
          <w:lang w:eastAsia="lv-LV"/>
        </w:rPr>
        <w:lastRenderedPageBreak/>
        <w:t xml:space="preserve">elektroenerģiju sistēmai vai </w:t>
      </w:r>
      <w:r>
        <w:rPr>
          <w:rFonts w:ascii="Arial" w:eastAsia="Times New Roman" w:hAnsi="Arial" w:cs="Arial"/>
          <w:color w:val="414142"/>
          <w:sz w:val="20"/>
          <w:szCs w:val="20"/>
          <w:lang w:eastAsia="lv-LV"/>
        </w:rPr>
        <w:t xml:space="preserve">uzņem elektroenerģiju no sistēmas, </w:t>
      </w:r>
      <w:r w:rsidRPr="00EF46BA">
        <w:rPr>
          <w:rFonts w:ascii="Arial" w:eastAsia="Times New Roman" w:hAnsi="Arial" w:cs="Arial"/>
          <w:strike/>
          <w:color w:val="0F9ED5" w:themeColor="accent4"/>
          <w:sz w:val="20"/>
          <w:szCs w:val="20"/>
          <w:lang w:eastAsia="lv-LV"/>
        </w:rPr>
        <w:t xml:space="preserve">vai </w:t>
      </w:r>
      <w:r w:rsidRPr="00CE1B0E">
        <w:rPr>
          <w:rFonts w:ascii="Arial" w:eastAsia="Times New Roman" w:hAnsi="Arial" w:cs="Arial"/>
          <w:color w:val="414142"/>
          <w:sz w:val="20"/>
          <w:szCs w:val="20"/>
          <w:lang w:eastAsia="lv-LV"/>
        </w:rPr>
        <w:t>sniedz pieprasījuma reakcijas pakalpojumu</w:t>
      </w:r>
      <w:r w:rsidRPr="00EF46BA">
        <w:rPr>
          <w:rFonts w:ascii="Arial" w:eastAsia="Times New Roman" w:hAnsi="Arial" w:cs="Arial"/>
          <w:color w:val="0F9ED5" w:themeColor="accent4"/>
          <w:sz w:val="20"/>
          <w:szCs w:val="20"/>
          <w:u w:val="single"/>
          <w:lang w:eastAsia="lv-LV"/>
        </w:rPr>
        <w:t>, vai nodrošina regulēšanas jaudu;</w:t>
      </w:r>
    </w:p>
    <w:p w14:paraId="33BB74DC" w14:textId="77777777" w:rsidR="0021074E" w:rsidRDefault="0021074E" w:rsidP="0021074E">
      <w:pPr>
        <w:shd w:val="clear" w:color="auto" w:fill="FFFFFF" w:themeFill="background1"/>
        <w:spacing w:after="0" w:line="293" w:lineRule="atLeast"/>
        <w:ind w:left="600" w:firstLine="300"/>
        <w:jc w:val="both"/>
        <w:rPr>
          <w:rFonts w:ascii="Arial" w:eastAsia="Times New Roman" w:hAnsi="Arial" w:cs="Arial"/>
          <w:color w:val="414142"/>
          <w:sz w:val="20"/>
          <w:szCs w:val="20"/>
          <w:lang w:eastAsia="lv-LV"/>
        </w:rPr>
      </w:pPr>
      <w:r>
        <w:rPr>
          <w:rFonts w:ascii="Arial" w:eastAsia="Times New Roman" w:hAnsi="Arial" w:cs="Arial"/>
          <w:color w:val="414142"/>
          <w:sz w:val="20"/>
          <w:szCs w:val="20"/>
          <w:lang w:eastAsia="lv-LV"/>
        </w:rPr>
        <w:t>2.33</w:t>
      </w:r>
      <w:r w:rsidRPr="001D1506">
        <w:rPr>
          <w:rFonts w:ascii="Arial" w:eastAsia="Times New Roman" w:hAnsi="Arial" w:cs="Arial"/>
          <w:color w:val="414142"/>
          <w:sz w:val="20"/>
          <w:szCs w:val="20"/>
          <w:vertAlign w:val="superscript"/>
          <w:lang w:eastAsia="lv-LV"/>
        </w:rPr>
        <w:t>1</w:t>
      </w:r>
      <w:r>
        <w:rPr>
          <w:rFonts w:ascii="Arial" w:eastAsia="Times New Roman" w:hAnsi="Arial" w:cs="Arial"/>
          <w:color w:val="414142"/>
          <w:sz w:val="20"/>
          <w:szCs w:val="20"/>
          <w:lang w:eastAsia="lv-LV"/>
        </w:rPr>
        <w:t xml:space="preserve">. regulēšanas produkts – </w:t>
      </w:r>
      <w:r w:rsidRPr="51995FB5">
        <w:rPr>
          <w:rFonts w:ascii="Arial" w:eastAsia="Times New Roman" w:hAnsi="Arial" w:cs="Arial"/>
          <w:color w:val="414142"/>
          <w:sz w:val="20"/>
          <w:szCs w:val="20"/>
          <w:lang w:eastAsia="lv-LV"/>
        </w:rPr>
        <w:t xml:space="preserve">pārvades </w:t>
      </w:r>
      <w:r w:rsidRPr="39E3F759">
        <w:rPr>
          <w:rFonts w:ascii="Arial" w:eastAsia="Times New Roman" w:hAnsi="Arial" w:cs="Arial"/>
          <w:color w:val="414142"/>
          <w:sz w:val="20"/>
          <w:szCs w:val="20"/>
          <w:lang w:eastAsia="lv-LV"/>
        </w:rPr>
        <w:t xml:space="preserve">sistēmas </w:t>
      </w:r>
      <w:r w:rsidRPr="3B2D876B">
        <w:rPr>
          <w:rFonts w:ascii="Arial" w:eastAsia="Times New Roman" w:hAnsi="Arial" w:cs="Arial"/>
          <w:color w:val="414142"/>
          <w:sz w:val="20"/>
          <w:szCs w:val="20"/>
          <w:lang w:eastAsia="lv-LV"/>
        </w:rPr>
        <w:t xml:space="preserve">operatora sadarbībā </w:t>
      </w:r>
      <w:r w:rsidRPr="39E3F759">
        <w:rPr>
          <w:rFonts w:ascii="Arial" w:eastAsia="Times New Roman" w:hAnsi="Arial" w:cs="Arial"/>
          <w:color w:val="414142"/>
          <w:sz w:val="20"/>
          <w:szCs w:val="20"/>
          <w:lang w:eastAsia="lv-LV"/>
        </w:rPr>
        <w:t xml:space="preserve"> ar citas valsts </w:t>
      </w:r>
      <w:r w:rsidRPr="486E57A4">
        <w:rPr>
          <w:rFonts w:ascii="Arial" w:eastAsia="Times New Roman" w:hAnsi="Arial" w:cs="Arial"/>
          <w:color w:val="414142"/>
          <w:sz w:val="20"/>
          <w:szCs w:val="20"/>
          <w:lang w:eastAsia="lv-LV"/>
        </w:rPr>
        <w:t xml:space="preserve">pārvades sistēmas </w:t>
      </w:r>
      <w:r w:rsidRPr="06D87B13">
        <w:rPr>
          <w:rFonts w:ascii="Arial" w:eastAsia="Times New Roman" w:hAnsi="Arial" w:cs="Arial"/>
          <w:color w:val="414142"/>
          <w:sz w:val="20"/>
          <w:szCs w:val="20"/>
          <w:lang w:eastAsia="lv-LV"/>
        </w:rPr>
        <w:t xml:space="preserve">operatoru </w:t>
      </w:r>
      <w:r w:rsidRPr="182E492B">
        <w:rPr>
          <w:rFonts w:ascii="Arial" w:eastAsia="Times New Roman" w:hAnsi="Arial" w:cs="Arial"/>
          <w:color w:val="414142"/>
          <w:sz w:val="20"/>
          <w:szCs w:val="20"/>
          <w:lang w:eastAsia="lv-LV"/>
        </w:rPr>
        <w:t xml:space="preserve">definēts regulēšanas pakalpojuma veids </w:t>
      </w:r>
      <w:r w:rsidRPr="73A4DB02">
        <w:rPr>
          <w:rFonts w:ascii="Arial" w:eastAsia="Times New Roman" w:hAnsi="Arial" w:cs="Arial"/>
          <w:color w:val="414142"/>
          <w:sz w:val="20"/>
          <w:szCs w:val="20"/>
          <w:lang w:eastAsia="lv-LV"/>
        </w:rPr>
        <w:t xml:space="preserve">balansēšanas enerģijas </w:t>
      </w:r>
      <w:r w:rsidRPr="176323FF">
        <w:rPr>
          <w:rFonts w:ascii="Arial" w:eastAsia="Times New Roman" w:hAnsi="Arial" w:cs="Arial"/>
          <w:color w:val="414142"/>
          <w:sz w:val="20"/>
          <w:szCs w:val="20"/>
          <w:lang w:eastAsia="lv-LV"/>
        </w:rPr>
        <w:t>apmaiņai</w:t>
      </w:r>
      <w:r>
        <w:rPr>
          <w:rFonts w:ascii="Arial" w:eastAsia="Times New Roman" w:hAnsi="Arial" w:cs="Arial"/>
          <w:color w:val="414142"/>
          <w:sz w:val="20"/>
          <w:szCs w:val="20"/>
          <w:lang w:eastAsia="lv-LV"/>
        </w:rPr>
        <w:t xml:space="preserve"> </w:t>
      </w:r>
      <w:r w:rsidRPr="00EF46BA">
        <w:rPr>
          <w:rFonts w:ascii="Arial" w:eastAsia="Times New Roman" w:hAnsi="Arial" w:cs="Arial"/>
          <w:color w:val="0F9ED5" w:themeColor="accent4"/>
          <w:sz w:val="20"/>
          <w:szCs w:val="20"/>
          <w:u w:val="single"/>
          <w:lang w:eastAsia="lv-LV"/>
        </w:rPr>
        <w:t xml:space="preserve">no </w:t>
      </w:r>
      <w:r w:rsidRPr="00A67167">
        <w:rPr>
          <w:rFonts w:ascii="Arial" w:eastAsia="Times New Roman" w:hAnsi="Arial" w:cs="Arial"/>
          <w:color w:val="414142"/>
          <w:sz w:val="20"/>
          <w:szCs w:val="20"/>
          <w:lang w:eastAsia="lv-LV"/>
        </w:rPr>
        <w:t>frekvences atjaunošanas rezervēm ar automātisku</w:t>
      </w:r>
      <w:r>
        <w:rPr>
          <w:rFonts w:ascii="Arial" w:eastAsia="Times New Roman" w:hAnsi="Arial" w:cs="Arial"/>
          <w:color w:val="414142"/>
          <w:sz w:val="20"/>
          <w:szCs w:val="20"/>
          <w:lang w:eastAsia="lv-LV"/>
        </w:rPr>
        <w:t xml:space="preserve"> vai manuālu</w:t>
      </w:r>
      <w:r w:rsidRPr="00A67167">
        <w:rPr>
          <w:rFonts w:ascii="Arial" w:eastAsia="Times New Roman" w:hAnsi="Arial" w:cs="Arial"/>
          <w:color w:val="414142"/>
          <w:sz w:val="20"/>
          <w:szCs w:val="20"/>
          <w:lang w:eastAsia="lv-LV"/>
        </w:rPr>
        <w:t xml:space="preserve"> aktivizāciju</w:t>
      </w:r>
      <w:r>
        <w:rPr>
          <w:rFonts w:ascii="Arial" w:eastAsia="Times New Roman" w:hAnsi="Arial" w:cs="Arial"/>
          <w:color w:val="414142"/>
          <w:sz w:val="20"/>
          <w:szCs w:val="20"/>
          <w:lang w:eastAsia="lv-LV"/>
        </w:rPr>
        <w:t>;</w:t>
      </w:r>
    </w:p>
    <w:p w14:paraId="397EEC3F" w14:textId="77777777" w:rsidR="0021074E" w:rsidRPr="00CE1B0E" w:rsidRDefault="0021074E" w:rsidP="0021074E">
      <w:pPr>
        <w:shd w:val="clear" w:color="auto" w:fill="FFFFFF" w:themeFill="background1"/>
        <w:spacing w:after="0" w:line="293" w:lineRule="atLeast"/>
        <w:ind w:left="600" w:firstLine="300"/>
        <w:jc w:val="both"/>
        <w:rPr>
          <w:rFonts w:ascii="Arial" w:eastAsia="Times New Roman" w:hAnsi="Arial" w:cs="Arial"/>
          <w:color w:val="414142"/>
          <w:sz w:val="20"/>
          <w:szCs w:val="20"/>
          <w:lang w:eastAsia="lv-LV"/>
        </w:rPr>
      </w:pPr>
      <w:r>
        <w:rPr>
          <w:rFonts w:ascii="Arial" w:eastAsia="Times New Roman" w:hAnsi="Arial" w:cs="Arial"/>
          <w:color w:val="414142"/>
          <w:sz w:val="20"/>
          <w:szCs w:val="20"/>
          <w:lang w:eastAsia="lv-LV"/>
        </w:rPr>
        <w:t>2.33</w:t>
      </w:r>
      <w:r>
        <w:rPr>
          <w:rFonts w:ascii="Arial" w:eastAsia="Times New Roman" w:hAnsi="Arial" w:cs="Arial"/>
          <w:color w:val="414142"/>
          <w:sz w:val="20"/>
          <w:szCs w:val="20"/>
          <w:vertAlign w:val="superscript"/>
          <w:lang w:eastAsia="lv-LV"/>
        </w:rPr>
        <w:t>2</w:t>
      </w:r>
      <w:r>
        <w:rPr>
          <w:rFonts w:ascii="Arial" w:eastAsia="Times New Roman" w:hAnsi="Arial" w:cs="Arial"/>
          <w:color w:val="414142"/>
          <w:sz w:val="20"/>
          <w:szCs w:val="20"/>
          <w:lang w:eastAsia="lv-LV"/>
        </w:rPr>
        <w:t xml:space="preserve">. regulēšanas jaudas produkts – </w:t>
      </w:r>
      <w:r w:rsidRPr="51995FB5">
        <w:rPr>
          <w:rFonts w:ascii="Arial" w:eastAsia="Times New Roman" w:hAnsi="Arial" w:cs="Arial"/>
          <w:color w:val="414142"/>
          <w:sz w:val="20"/>
          <w:szCs w:val="20"/>
          <w:lang w:eastAsia="lv-LV"/>
        </w:rPr>
        <w:t xml:space="preserve">pārvades </w:t>
      </w:r>
      <w:r w:rsidRPr="39E3F759">
        <w:rPr>
          <w:rFonts w:ascii="Arial" w:eastAsia="Times New Roman" w:hAnsi="Arial" w:cs="Arial"/>
          <w:color w:val="414142"/>
          <w:sz w:val="20"/>
          <w:szCs w:val="20"/>
          <w:lang w:eastAsia="lv-LV"/>
        </w:rPr>
        <w:t xml:space="preserve">sistēmas </w:t>
      </w:r>
      <w:r w:rsidRPr="3B2D876B">
        <w:rPr>
          <w:rFonts w:ascii="Arial" w:eastAsia="Times New Roman" w:hAnsi="Arial" w:cs="Arial"/>
          <w:color w:val="414142"/>
          <w:sz w:val="20"/>
          <w:szCs w:val="20"/>
          <w:lang w:eastAsia="lv-LV"/>
        </w:rPr>
        <w:t xml:space="preserve">operatora sadarbībā </w:t>
      </w:r>
      <w:r w:rsidRPr="39E3F759">
        <w:rPr>
          <w:rFonts w:ascii="Arial" w:eastAsia="Times New Roman" w:hAnsi="Arial" w:cs="Arial"/>
          <w:color w:val="414142"/>
          <w:sz w:val="20"/>
          <w:szCs w:val="20"/>
          <w:lang w:eastAsia="lv-LV"/>
        </w:rPr>
        <w:t xml:space="preserve"> ar citas valsts </w:t>
      </w:r>
      <w:r w:rsidRPr="486E57A4">
        <w:rPr>
          <w:rFonts w:ascii="Arial" w:eastAsia="Times New Roman" w:hAnsi="Arial" w:cs="Arial"/>
          <w:color w:val="414142"/>
          <w:sz w:val="20"/>
          <w:szCs w:val="20"/>
          <w:lang w:eastAsia="lv-LV"/>
        </w:rPr>
        <w:t xml:space="preserve">pārvades sistēmas </w:t>
      </w:r>
      <w:r w:rsidRPr="06D87B13">
        <w:rPr>
          <w:rFonts w:ascii="Arial" w:eastAsia="Times New Roman" w:hAnsi="Arial" w:cs="Arial"/>
          <w:color w:val="414142"/>
          <w:sz w:val="20"/>
          <w:szCs w:val="20"/>
          <w:lang w:eastAsia="lv-LV"/>
        </w:rPr>
        <w:t xml:space="preserve">operatoru </w:t>
      </w:r>
      <w:r w:rsidRPr="182E492B">
        <w:rPr>
          <w:rFonts w:ascii="Arial" w:eastAsia="Times New Roman" w:hAnsi="Arial" w:cs="Arial"/>
          <w:color w:val="414142"/>
          <w:sz w:val="20"/>
          <w:szCs w:val="20"/>
          <w:lang w:eastAsia="lv-LV"/>
        </w:rPr>
        <w:t xml:space="preserve">definēts regulēšanas pakalpojuma veids </w:t>
      </w:r>
      <w:r w:rsidRPr="73A4DB02">
        <w:rPr>
          <w:rFonts w:ascii="Arial" w:eastAsia="Times New Roman" w:hAnsi="Arial" w:cs="Arial"/>
          <w:color w:val="414142"/>
          <w:sz w:val="20"/>
          <w:szCs w:val="20"/>
          <w:lang w:eastAsia="lv-LV"/>
        </w:rPr>
        <w:t xml:space="preserve">balansēšanas </w:t>
      </w:r>
      <w:r>
        <w:rPr>
          <w:rFonts w:ascii="Arial" w:eastAsia="Times New Roman" w:hAnsi="Arial" w:cs="Arial"/>
          <w:color w:val="414142"/>
          <w:sz w:val="20"/>
          <w:szCs w:val="20"/>
          <w:lang w:eastAsia="lv-LV"/>
        </w:rPr>
        <w:t>jaudas apmaiņai no</w:t>
      </w:r>
      <w:r w:rsidRPr="176323FF">
        <w:rPr>
          <w:rFonts w:ascii="Arial" w:eastAsia="Times New Roman" w:hAnsi="Arial" w:cs="Arial"/>
          <w:color w:val="414142"/>
          <w:sz w:val="20"/>
          <w:szCs w:val="20"/>
          <w:lang w:eastAsia="lv-LV"/>
        </w:rPr>
        <w:t xml:space="preserve"> </w:t>
      </w:r>
      <w:r w:rsidRPr="00A67167">
        <w:rPr>
          <w:rFonts w:ascii="Arial" w:eastAsia="Times New Roman" w:hAnsi="Arial" w:cs="Arial"/>
          <w:color w:val="414142"/>
          <w:sz w:val="20"/>
          <w:szCs w:val="20"/>
          <w:lang w:eastAsia="lv-LV"/>
        </w:rPr>
        <w:t>frekvences atjaunošanas rezervēm ar automātisku</w:t>
      </w:r>
      <w:r>
        <w:rPr>
          <w:rFonts w:ascii="Arial" w:eastAsia="Times New Roman" w:hAnsi="Arial" w:cs="Arial"/>
          <w:color w:val="414142"/>
          <w:sz w:val="20"/>
          <w:szCs w:val="20"/>
          <w:lang w:eastAsia="lv-LV"/>
        </w:rPr>
        <w:t xml:space="preserve"> vai manuālu</w:t>
      </w:r>
      <w:r w:rsidRPr="00A67167">
        <w:rPr>
          <w:rFonts w:ascii="Arial" w:eastAsia="Times New Roman" w:hAnsi="Arial" w:cs="Arial"/>
          <w:color w:val="414142"/>
          <w:sz w:val="20"/>
          <w:szCs w:val="20"/>
          <w:lang w:eastAsia="lv-LV"/>
        </w:rPr>
        <w:t xml:space="preserve"> aktivizāciju</w:t>
      </w:r>
      <w:r>
        <w:rPr>
          <w:rFonts w:ascii="Arial" w:eastAsia="Times New Roman" w:hAnsi="Arial" w:cs="Arial"/>
          <w:color w:val="414142"/>
          <w:sz w:val="20"/>
          <w:szCs w:val="20"/>
          <w:lang w:eastAsia="lv-LV"/>
        </w:rPr>
        <w:t xml:space="preserve"> un frekvences noturēšanas rezervēm;</w:t>
      </w:r>
    </w:p>
    <w:p w14:paraId="5DEE892F" w14:textId="77777777" w:rsidR="0021074E" w:rsidRPr="00735B34" w:rsidRDefault="0021074E" w:rsidP="0021074E">
      <w:pPr>
        <w:shd w:val="clear" w:color="auto" w:fill="FFFFFF"/>
        <w:spacing w:after="0" w:line="293" w:lineRule="atLeast"/>
        <w:ind w:left="600" w:firstLine="300"/>
        <w:jc w:val="both"/>
        <w:rPr>
          <w:rFonts w:ascii="Arial" w:eastAsia="Times New Roman" w:hAnsi="Arial" w:cs="Arial"/>
          <w:color w:val="414142"/>
          <w:sz w:val="20"/>
          <w:szCs w:val="20"/>
          <w:lang w:eastAsia="lv-LV"/>
        </w:rPr>
      </w:pPr>
      <w:r w:rsidRPr="00FD7080">
        <w:rPr>
          <w:rFonts w:ascii="Arial" w:eastAsia="Times New Roman" w:hAnsi="Arial" w:cs="Arial"/>
          <w:color w:val="414142"/>
          <w:sz w:val="20"/>
          <w:szCs w:val="20"/>
          <w:lang w:eastAsia="lv-LV"/>
        </w:rPr>
        <w:t>2.39</w:t>
      </w:r>
      <w:r w:rsidRPr="00FD7080">
        <w:rPr>
          <w:rFonts w:ascii="Arial" w:eastAsia="Times New Roman" w:hAnsi="Arial" w:cs="Arial"/>
          <w:color w:val="414142"/>
          <w:sz w:val="20"/>
          <w:szCs w:val="20"/>
          <w:vertAlign w:val="superscript"/>
          <w:lang w:eastAsia="lv-LV"/>
        </w:rPr>
        <w:t>1</w:t>
      </w:r>
      <w:r w:rsidRPr="00FD7080">
        <w:rPr>
          <w:rFonts w:ascii="Arial" w:eastAsia="Times New Roman" w:hAnsi="Arial" w:cs="Arial"/>
          <w:color w:val="414142"/>
          <w:sz w:val="20"/>
          <w:szCs w:val="20"/>
          <w:lang w:eastAsia="lv-LV"/>
        </w:rPr>
        <w:t xml:space="preserve">. balansēšanas tirgus laika vienība  – laika periods, kurā tiek savstarpēji savienoti regulēšanas produkta solījumi </w:t>
      </w:r>
      <w:r w:rsidRPr="00EF46BA">
        <w:rPr>
          <w:rFonts w:ascii="Arial" w:eastAsia="Times New Roman" w:hAnsi="Arial" w:cs="Arial"/>
          <w:color w:val="0F9ED5" w:themeColor="accent4"/>
          <w:sz w:val="20"/>
          <w:szCs w:val="20"/>
          <w:u w:val="single"/>
          <w:lang w:eastAsia="lv-LV"/>
        </w:rPr>
        <w:t>vai regulēšanas jaudas produkta solījumi</w:t>
      </w:r>
      <w:r w:rsidRPr="00EF46BA">
        <w:rPr>
          <w:rFonts w:ascii="Arial" w:eastAsia="Times New Roman" w:hAnsi="Arial" w:cs="Arial"/>
          <w:color w:val="0F9ED5" w:themeColor="accent4"/>
          <w:sz w:val="20"/>
          <w:szCs w:val="20"/>
          <w:lang w:eastAsia="lv-LV"/>
        </w:rPr>
        <w:t xml:space="preserve"> </w:t>
      </w:r>
      <w:r w:rsidRPr="00FD7080">
        <w:rPr>
          <w:rFonts w:ascii="Arial" w:eastAsia="Times New Roman" w:hAnsi="Arial" w:cs="Arial"/>
          <w:color w:val="414142"/>
          <w:sz w:val="20"/>
          <w:szCs w:val="20"/>
          <w:lang w:eastAsia="lv-LV"/>
        </w:rPr>
        <w:t>un pārvades sistēmas operatora pieprasījumi.</w:t>
      </w:r>
      <w:r>
        <w:rPr>
          <w:rFonts w:ascii="Arial" w:eastAsia="Times New Roman" w:hAnsi="Arial" w:cs="Arial"/>
          <w:color w:val="414142"/>
          <w:sz w:val="20"/>
          <w:szCs w:val="20"/>
          <w:lang w:eastAsia="lv-LV"/>
        </w:rPr>
        <w:t xml:space="preserve"> Balansēšanas tirgus laika vienība</w:t>
      </w:r>
      <w:r w:rsidRPr="54283E0B">
        <w:rPr>
          <w:rFonts w:ascii="Arial" w:eastAsia="Times New Roman" w:hAnsi="Arial" w:cs="Arial"/>
          <w:color w:val="414142"/>
          <w:sz w:val="20"/>
          <w:szCs w:val="20"/>
          <w:lang w:eastAsia="lv-LV"/>
        </w:rPr>
        <w:t xml:space="preserve"> ir vienād</w:t>
      </w:r>
      <w:r>
        <w:rPr>
          <w:rFonts w:ascii="Arial" w:eastAsia="Times New Roman" w:hAnsi="Arial" w:cs="Arial"/>
          <w:color w:val="414142"/>
          <w:sz w:val="20"/>
          <w:szCs w:val="20"/>
          <w:lang w:eastAsia="lv-LV"/>
        </w:rPr>
        <w:t>a</w:t>
      </w:r>
      <w:r w:rsidRPr="54283E0B">
        <w:rPr>
          <w:rFonts w:ascii="Arial" w:eastAsia="Times New Roman" w:hAnsi="Arial" w:cs="Arial"/>
          <w:color w:val="414142"/>
          <w:sz w:val="20"/>
          <w:szCs w:val="20"/>
          <w:lang w:eastAsia="lv-LV"/>
        </w:rPr>
        <w:t xml:space="preserve"> ar Latvijas teritorijā noteikto </w:t>
      </w:r>
      <w:r w:rsidRPr="007F045A">
        <w:rPr>
          <w:rFonts w:ascii="Arial" w:eastAsia="Times New Roman" w:hAnsi="Arial" w:cs="Arial"/>
          <w:color w:val="414142"/>
          <w:sz w:val="20"/>
          <w:szCs w:val="20"/>
          <w:lang w:eastAsia="lv-LV"/>
        </w:rPr>
        <w:t>tirdzniecības intervālu</w:t>
      </w:r>
      <w:r>
        <w:rPr>
          <w:rFonts w:ascii="Arial" w:eastAsia="Times New Roman" w:hAnsi="Arial" w:cs="Arial"/>
          <w:color w:val="414142"/>
          <w:sz w:val="20"/>
          <w:szCs w:val="20"/>
          <w:lang w:eastAsia="lv-LV"/>
        </w:rPr>
        <w:t xml:space="preserve"> līdz brīdim, kad balansēšanas tirgus tiek organizēts saskaņā ar </w:t>
      </w:r>
      <w:r w:rsidRPr="009D423F">
        <w:rPr>
          <w:rFonts w:ascii="Arial" w:eastAsia="Times New Roman" w:hAnsi="Arial" w:cs="Arial"/>
          <w:color w:val="414142"/>
          <w:sz w:val="20"/>
          <w:szCs w:val="20"/>
          <w:lang w:eastAsia="lv-LV"/>
        </w:rPr>
        <w:t>Regula</w:t>
      </w:r>
      <w:r>
        <w:rPr>
          <w:rFonts w:ascii="Arial" w:eastAsia="Times New Roman" w:hAnsi="Arial" w:cs="Arial"/>
          <w:color w:val="414142"/>
          <w:sz w:val="20"/>
          <w:szCs w:val="20"/>
          <w:lang w:eastAsia="lv-LV"/>
        </w:rPr>
        <w:t>s</w:t>
      </w:r>
      <w:r w:rsidRPr="009D423F">
        <w:rPr>
          <w:rFonts w:ascii="Arial" w:eastAsia="Times New Roman" w:hAnsi="Arial" w:cs="Arial"/>
          <w:color w:val="414142"/>
          <w:sz w:val="20"/>
          <w:szCs w:val="20"/>
          <w:lang w:eastAsia="lv-LV"/>
        </w:rPr>
        <w:t xml:space="preserve"> Nr.</w:t>
      </w:r>
      <w:r>
        <w:rPr>
          <w:rFonts w:ascii="Arial" w:eastAsia="Times New Roman" w:hAnsi="Arial" w:cs="Arial"/>
          <w:color w:val="414142"/>
          <w:sz w:val="20"/>
          <w:szCs w:val="20"/>
          <w:lang w:eastAsia="lv-LV"/>
        </w:rPr>
        <w:t> </w:t>
      </w:r>
      <w:r w:rsidRPr="009D423F">
        <w:rPr>
          <w:rFonts w:ascii="Arial" w:eastAsia="Times New Roman" w:hAnsi="Arial" w:cs="Arial"/>
          <w:color w:val="414142"/>
          <w:sz w:val="20"/>
          <w:szCs w:val="20"/>
          <w:lang w:eastAsia="lv-LV"/>
        </w:rPr>
        <w:t>2017/2195</w:t>
      </w:r>
      <w:r>
        <w:rPr>
          <w:rFonts w:ascii="Arial" w:eastAsia="Times New Roman" w:hAnsi="Arial" w:cs="Arial"/>
          <w:color w:val="414142"/>
          <w:sz w:val="20"/>
          <w:szCs w:val="20"/>
          <w:lang w:eastAsia="lv-LV"/>
        </w:rPr>
        <w:t xml:space="preserve"> 20.panta 6.punktu vai 21. panta 6.punktu. Šādā gadījumā balansēšanas tirgus laika vienības periods ir noteikts saskaņā ar </w:t>
      </w:r>
      <w:r w:rsidRPr="000F407F">
        <w:rPr>
          <w:rFonts w:ascii="Arial" w:eastAsia="Times New Roman" w:hAnsi="Arial" w:cs="Arial"/>
          <w:color w:val="414142"/>
          <w:sz w:val="20"/>
          <w:szCs w:val="20"/>
          <w:lang w:eastAsia="lv-LV"/>
        </w:rPr>
        <w:t>Regulas Nr. </w:t>
      </w:r>
      <w:hyperlink r:id="rId11" w:tgtFrame="_blank" w:history="1">
        <w:r w:rsidRPr="00C34EFF">
          <w:rPr>
            <w:rFonts w:ascii="Arial" w:eastAsia="Times New Roman" w:hAnsi="Arial" w:cs="Arial"/>
            <w:color w:val="414142"/>
            <w:sz w:val="20"/>
            <w:szCs w:val="20"/>
            <w:lang w:eastAsia="lv-LV"/>
          </w:rPr>
          <w:t>2017/2195</w:t>
        </w:r>
      </w:hyperlink>
      <w:r w:rsidRPr="000F407F">
        <w:rPr>
          <w:rFonts w:ascii="Arial" w:eastAsia="Times New Roman" w:hAnsi="Arial" w:cs="Arial"/>
          <w:color w:val="414142"/>
          <w:sz w:val="20"/>
          <w:szCs w:val="20"/>
          <w:lang w:eastAsia="lv-LV"/>
        </w:rPr>
        <w:t xml:space="preserve"> 20.panta 1.punktu un 21.panta 1.punktu.</w:t>
      </w:r>
      <w:r>
        <w:rPr>
          <w:rFonts w:ascii="Arial" w:eastAsia="Times New Roman" w:hAnsi="Arial" w:cs="Arial"/>
          <w:color w:val="414142"/>
          <w:sz w:val="20"/>
          <w:szCs w:val="20"/>
          <w:lang w:eastAsia="lv-LV"/>
        </w:rPr>
        <w:t xml:space="preserve"> </w:t>
      </w:r>
      <w:r w:rsidRPr="00EF46BA">
        <w:rPr>
          <w:rFonts w:ascii="Arial" w:eastAsia="Times New Roman" w:hAnsi="Arial" w:cs="Arial"/>
          <w:color w:val="0F9ED5" w:themeColor="accent4"/>
          <w:sz w:val="20"/>
          <w:szCs w:val="20"/>
          <w:u w:val="single"/>
          <w:lang w:eastAsia="lv-LV"/>
        </w:rPr>
        <w:t>Balansēšana tirgus laika vienība attiecībā uz regulēšanas jaudas produktu noteikta saskaņā ar Regulas Nr. </w:t>
      </w:r>
      <w:hyperlink r:id="rId12" w:tgtFrame="_blank" w:history="1">
        <w:r w:rsidRPr="00EF46BA">
          <w:rPr>
            <w:rFonts w:ascii="Arial" w:eastAsia="Times New Roman" w:hAnsi="Arial" w:cs="Arial"/>
            <w:color w:val="0F9ED5" w:themeColor="accent4"/>
            <w:sz w:val="20"/>
            <w:szCs w:val="20"/>
            <w:u w:val="single"/>
            <w:lang w:eastAsia="lv-LV"/>
          </w:rPr>
          <w:t>2017/2195</w:t>
        </w:r>
      </w:hyperlink>
      <w:r w:rsidRPr="00EF46BA">
        <w:rPr>
          <w:rFonts w:ascii="Arial" w:eastAsia="Times New Roman" w:hAnsi="Arial" w:cs="Arial"/>
          <w:color w:val="0F9ED5" w:themeColor="accent4"/>
          <w:sz w:val="20"/>
          <w:szCs w:val="20"/>
          <w:u w:val="single"/>
          <w:lang w:eastAsia="lv-LV"/>
        </w:rPr>
        <w:t xml:space="preserve"> 33. panta 1. punktu. </w:t>
      </w:r>
    </w:p>
    <w:p w14:paraId="304B1F7E" w14:textId="77777777" w:rsidR="002439D1" w:rsidRDefault="002439D1" w:rsidP="002439D1">
      <w:pPr>
        <w:jc w:val="both"/>
        <w:rPr>
          <w:b/>
          <w:bCs/>
        </w:rPr>
      </w:pPr>
    </w:p>
    <w:p w14:paraId="4045F5D4" w14:textId="5F72D38A" w:rsidR="0021074E" w:rsidRPr="0021074E" w:rsidRDefault="0021074E" w:rsidP="002439D1">
      <w:pPr>
        <w:jc w:val="both"/>
      </w:pPr>
      <w:r w:rsidRPr="0021074E">
        <w:t xml:space="preserve">Precizēt Tīkla kodeksa 36. punktu sekojoši: </w:t>
      </w:r>
    </w:p>
    <w:p w14:paraId="50708DB4" w14:textId="77777777" w:rsidR="0021074E" w:rsidRPr="00CE1B0E" w:rsidRDefault="0021074E" w:rsidP="00456473">
      <w:pPr>
        <w:shd w:val="clear" w:color="auto" w:fill="FFFFFF"/>
        <w:spacing w:after="0" w:line="293" w:lineRule="atLeast"/>
        <w:ind w:left="709"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36. Pārvades sistēmas operators, lai nodrošinātu elektroenerģijas sistēmas frekvenci atbilstoši šī kodeksa </w:t>
      </w:r>
      <w:hyperlink r:id="rId13" w:anchor="piel1" w:history="1">
        <w:r w:rsidRPr="00CE1B0E">
          <w:rPr>
            <w:rFonts w:ascii="Arial" w:eastAsia="Times New Roman" w:hAnsi="Arial" w:cs="Arial"/>
            <w:color w:val="16497B"/>
            <w:sz w:val="20"/>
            <w:szCs w:val="20"/>
            <w:lang w:eastAsia="lv-LV"/>
          </w:rPr>
          <w:t>1.pielikumā</w:t>
        </w:r>
      </w:hyperlink>
      <w:r w:rsidRPr="00CE1B0E">
        <w:rPr>
          <w:rFonts w:ascii="Arial" w:eastAsia="Times New Roman" w:hAnsi="Arial" w:cs="Arial"/>
          <w:color w:val="414142"/>
          <w:sz w:val="20"/>
          <w:szCs w:val="20"/>
          <w:lang w:eastAsia="lv-LV"/>
        </w:rPr>
        <w:t> noteiktajām prasībām, veic šādas darbības:</w:t>
      </w:r>
    </w:p>
    <w:p w14:paraId="48AC825F" w14:textId="0C5A1851" w:rsidR="0021074E" w:rsidRDefault="0021074E" w:rsidP="00456473">
      <w:pPr>
        <w:shd w:val="clear" w:color="auto" w:fill="FFFFFF"/>
        <w:spacing w:after="0" w:line="293" w:lineRule="atLeast"/>
        <w:ind w:left="709" w:firstLine="300"/>
        <w:jc w:val="both"/>
        <w:rPr>
          <w:rFonts w:ascii="Arial" w:eastAsia="Times New Roman" w:hAnsi="Arial" w:cs="Arial"/>
          <w:color w:val="414142"/>
          <w:sz w:val="20"/>
          <w:szCs w:val="20"/>
          <w:lang w:eastAsia="lv-LV"/>
        </w:rPr>
      </w:pPr>
      <w:r>
        <w:rPr>
          <w:rFonts w:ascii="Arial" w:eastAsia="Times New Roman" w:hAnsi="Arial" w:cs="Arial"/>
          <w:color w:val="414142"/>
          <w:sz w:val="20"/>
          <w:szCs w:val="20"/>
          <w:lang w:eastAsia="lv-LV"/>
        </w:rPr>
        <w:t>[..]</w:t>
      </w:r>
    </w:p>
    <w:p w14:paraId="61761AE7" w14:textId="496F2A09" w:rsidR="0021074E" w:rsidRDefault="0021074E" w:rsidP="00456473">
      <w:pPr>
        <w:shd w:val="clear" w:color="auto" w:fill="FFFFFF"/>
        <w:spacing w:after="0" w:line="293" w:lineRule="atLeast"/>
        <w:ind w:left="993" w:firstLine="300"/>
        <w:jc w:val="both"/>
        <w:rPr>
          <w:rFonts w:ascii="Arial" w:eastAsia="Times New Roman" w:hAnsi="Arial" w:cs="Arial"/>
          <w:color w:val="414142"/>
          <w:sz w:val="20"/>
          <w:szCs w:val="20"/>
          <w:lang w:eastAsia="lv-LV"/>
        </w:rPr>
      </w:pPr>
      <w:r w:rsidRPr="00CE1B0E">
        <w:rPr>
          <w:rFonts w:ascii="Arial" w:eastAsia="Times New Roman" w:hAnsi="Arial" w:cs="Arial"/>
          <w:color w:val="414142"/>
          <w:sz w:val="20"/>
          <w:szCs w:val="20"/>
          <w:lang w:eastAsia="lv-LV"/>
        </w:rPr>
        <w:t>36.4. slēdz līgumus ar sistēmas dalībniekiem par aizsardzības un atjaunošanas pakalpojumu sniegšanu</w:t>
      </w:r>
      <w:r>
        <w:rPr>
          <w:rFonts w:ascii="Arial" w:eastAsia="Times New Roman" w:hAnsi="Arial" w:cs="Arial"/>
          <w:color w:val="414142"/>
          <w:sz w:val="20"/>
          <w:szCs w:val="20"/>
          <w:lang w:eastAsia="lv-LV"/>
        </w:rPr>
        <w:t xml:space="preserve"> un</w:t>
      </w:r>
      <w:r w:rsidRPr="005F34C2">
        <w:t xml:space="preserve"> </w:t>
      </w:r>
      <w:proofErr w:type="spellStart"/>
      <w:r w:rsidRPr="00EF46BA">
        <w:rPr>
          <w:rFonts w:ascii="Arial" w:eastAsia="Times New Roman" w:hAnsi="Arial" w:cs="Arial"/>
          <w:color w:val="0F9ED5" w:themeColor="accent4"/>
          <w:sz w:val="20"/>
          <w:szCs w:val="20"/>
          <w:u w:val="single"/>
          <w:lang w:eastAsia="lv-LV"/>
        </w:rPr>
        <w:t>palīgpakalpojuma</w:t>
      </w:r>
      <w:proofErr w:type="spellEnd"/>
      <w:r w:rsidRPr="00EF46BA">
        <w:rPr>
          <w:rFonts w:ascii="Arial" w:eastAsia="Times New Roman" w:hAnsi="Arial" w:cs="Arial"/>
          <w:color w:val="0F9ED5" w:themeColor="accent4"/>
          <w:sz w:val="20"/>
          <w:szCs w:val="20"/>
          <w:u w:val="single"/>
          <w:lang w:eastAsia="lv-LV"/>
        </w:rPr>
        <w:t xml:space="preserve"> līgumus par regulēšanas jaudas produkta nodrošināšanu.</w:t>
      </w:r>
    </w:p>
    <w:p w14:paraId="22E290D1" w14:textId="77777777" w:rsidR="00373B0E" w:rsidRPr="00CE1B0E" w:rsidRDefault="00373B0E" w:rsidP="0021074E">
      <w:pPr>
        <w:shd w:val="clear" w:color="auto" w:fill="FFFFFF"/>
        <w:spacing w:after="0" w:line="293" w:lineRule="atLeast"/>
        <w:ind w:left="600" w:firstLine="300"/>
        <w:jc w:val="both"/>
        <w:rPr>
          <w:rFonts w:ascii="Arial" w:eastAsia="Times New Roman" w:hAnsi="Arial" w:cs="Arial"/>
          <w:color w:val="414142"/>
          <w:sz w:val="20"/>
          <w:szCs w:val="20"/>
          <w:lang w:eastAsia="lv-LV"/>
        </w:rPr>
      </w:pPr>
    </w:p>
    <w:p w14:paraId="7F5EEE16" w14:textId="0D27ED52" w:rsidR="00373B0E" w:rsidRPr="0021074E" w:rsidRDefault="00373B0E" w:rsidP="00373B0E">
      <w:pPr>
        <w:jc w:val="both"/>
      </w:pPr>
      <w:r>
        <w:t>Papildināt</w:t>
      </w:r>
      <w:r w:rsidRPr="0021074E">
        <w:t xml:space="preserve"> Tīkla kodeksa </w:t>
      </w:r>
      <w:r w:rsidRPr="00373B0E">
        <w:t>90.</w:t>
      </w:r>
      <w:r w:rsidRPr="00456473">
        <w:rPr>
          <w:vertAlign w:val="superscript"/>
        </w:rPr>
        <w:t>2</w:t>
      </w:r>
      <w:r w:rsidRPr="00373B0E">
        <w:t xml:space="preserve"> </w:t>
      </w:r>
      <w:r w:rsidRPr="0021074E">
        <w:t xml:space="preserve">punktu sekojoši: </w:t>
      </w:r>
    </w:p>
    <w:p w14:paraId="4B801F8E" w14:textId="77777777" w:rsidR="0021074E" w:rsidRPr="00CE1B0E" w:rsidRDefault="0021074E" w:rsidP="00456473">
      <w:pPr>
        <w:shd w:val="clear" w:color="auto" w:fill="FFFFFF" w:themeFill="background1"/>
        <w:spacing w:after="0" w:line="293" w:lineRule="atLeast"/>
        <w:ind w:left="709" w:firstLine="300"/>
        <w:jc w:val="both"/>
        <w:rPr>
          <w:rFonts w:ascii="Arial" w:eastAsia="Times New Roman" w:hAnsi="Arial" w:cs="Arial"/>
          <w:color w:val="414142"/>
          <w:sz w:val="20"/>
          <w:szCs w:val="20"/>
          <w:lang w:eastAsia="lv-LV"/>
        </w:rPr>
      </w:pPr>
      <w:r w:rsidRPr="54283E0B">
        <w:rPr>
          <w:rFonts w:ascii="Arial" w:eastAsia="Times New Roman" w:hAnsi="Arial" w:cs="Arial"/>
          <w:color w:val="414142"/>
          <w:sz w:val="20"/>
          <w:szCs w:val="20"/>
          <w:lang w:eastAsia="lv-LV"/>
        </w:rPr>
        <w:t>90.</w:t>
      </w:r>
      <w:r w:rsidRPr="54283E0B">
        <w:rPr>
          <w:rFonts w:ascii="Arial" w:eastAsia="Times New Roman" w:hAnsi="Arial" w:cs="Arial"/>
          <w:color w:val="414142"/>
          <w:sz w:val="20"/>
          <w:szCs w:val="20"/>
          <w:vertAlign w:val="superscript"/>
          <w:lang w:eastAsia="lv-LV"/>
        </w:rPr>
        <w:t>2</w:t>
      </w:r>
      <w:r w:rsidRPr="54283E0B">
        <w:rPr>
          <w:rFonts w:ascii="Arial" w:eastAsia="Times New Roman" w:hAnsi="Arial" w:cs="Arial"/>
          <w:color w:val="414142"/>
          <w:sz w:val="20"/>
          <w:szCs w:val="20"/>
          <w:lang w:eastAsia="lv-LV"/>
        </w:rPr>
        <w:t xml:space="preserve"> Pārvades sistēmas operators izstrādā </w:t>
      </w:r>
      <w:r w:rsidRPr="00734433">
        <w:rPr>
          <w:rFonts w:ascii="Arial" w:eastAsia="Times New Roman" w:hAnsi="Arial" w:cs="Arial"/>
          <w:color w:val="414142"/>
          <w:sz w:val="20"/>
          <w:szCs w:val="20"/>
          <w:lang w:eastAsia="lv-LV"/>
        </w:rPr>
        <w:t>balansēšanas tirgus noteikumus</w:t>
      </w:r>
      <w:r w:rsidRPr="54283E0B">
        <w:rPr>
          <w:rFonts w:ascii="Arial" w:eastAsia="Times New Roman" w:hAnsi="Arial" w:cs="Arial"/>
          <w:color w:val="414142"/>
          <w:sz w:val="20"/>
          <w:szCs w:val="20"/>
          <w:lang w:eastAsia="lv-LV"/>
        </w:rPr>
        <w:t xml:space="preserve">, kuros nosaka </w:t>
      </w:r>
      <w:r w:rsidRPr="0083553E">
        <w:rPr>
          <w:rFonts w:ascii="Arial" w:eastAsia="Times New Roman" w:hAnsi="Arial" w:cs="Arial"/>
          <w:color w:val="414142"/>
          <w:sz w:val="20"/>
          <w:szCs w:val="20"/>
          <w:lang w:eastAsia="lv-LV"/>
        </w:rPr>
        <w:t>regulēšanas pakalpojuma nodrošināšanas kārtību un prasības,</w:t>
      </w:r>
      <w:r w:rsidRPr="54283E0B">
        <w:rPr>
          <w:rFonts w:ascii="Arial" w:eastAsia="Times New Roman" w:hAnsi="Arial" w:cs="Arial"/>
          <w:color w:val="414142"/>
          <w:sz w:val="20"/>
          <w:szCs w:val="20"/>
          <w:lang w:eastAsia="lv-LV"/>
        </w:rPr>
        <w:t xml:space="preserve"> kas balansēšanas tirgus dalībniekiem jāievēro savā darbībā balansēšanas </w:t>
      </w:r>
      <w:r w:rsidRPr="00EF46BA">
        <w:rPr>
          <w:rFonts w:ascii="Arial" w:eastAsia="Times New Roman" w:hAnsi="Arial" w:cs="Arial"/>
          <w:color w:val="0F9ED5" w:themeColor="accent4"/>
          <w:sz w:val="20"/>
          <w:szCs w:val="20"/>
          <w:lang w:eastAsia="lv-LV"/>
        </w:rPr>
        <w:t xml:space="preserve">enerģijas </w:t>
      </w:r>
      <w:r w:rsidRPr="54283E0B">
        <w:rPr>
          <w:rFonts w:ascii="Arial" w:eastAsia="Times New Roman" w:hAnsi="Arial" w:cs="Arial"/>
          <w:color w:val="414142"/>
          <w:sz w:val="20"/>
          <w:szCs w:val="20"/>
          <w:lang w:eastAsia="lv-LV"/>
        </w:rPr>
        <w:t xml:space="preserve">tirgū. </w:t>
      </w:r>
      <w:r>
        <w:rPr>
          <w:rFonts w:ascii="Arial" w:eastAsia="Times New Roman" w:hAnsi="Arial" w:cs="Arial"/>
          <w:color w:val="414142"/>
          <w:sz w:val="20"/>
          <w:szCs w:val="20"/>
          <w:lang w:eastAsia="lv-LV"/>
        </w:rPr>
        <w:t xml:space="preserve">Ja balansēšana tiek veikta koordinētajā balansēšanas apgabalā, pārvades sistēmas operatoru balansēšanas tirgus noteikumu izstrādā </w:t>
      </w:r>
      <w:r w:rsidRPr="00C52B64">
        <w:rPr>
          <w:rFonts w:ascii="Arial" w:eastAsia="Times New Roman" w:hAnsi="Arial" w:cs="Arial"/>
          <w:color w:val="414142"/>
          <w:sz w:val="20"/>
          <w:szCs w:val="20"/>
          <w:lang w:eastAsia="lv-LV"/>
        </w:rPr>
        <w:t>sadarbībā ar citiem koordinētā balansēšanas apgabala pārvades sistēmas operatoriem</w:t>
      </w:r>
      <w:r>
        <w:rPr>
          <w:rFonts w:ascii="Arial" w:eastAsia="Times New Roman" w:hAnsi="Arial" w:cs="Arial"/>
          <w:color w:val="414142"/>
          <w:sz w:val="20"/>
          <w:szCs w:val="20"/>
          <w:lang w:eastAsia="lv-LV"/>
        </w:rPr>
        <w:t>.</w:t>
      </w:r>
      <w:r w:rsidRPr="00C52B64">
        <w:rPr>
          <w:rFonts w:ascii="Arial" w:eastAsia="Times New Roman" w:hAnsi="Arial" w:cs="Arial"/>
          <w:color w:val="414142"/>
          <w:sz w:val="20"/>
          <w:szCs w:val="20"/>
          <w:lang w:eastAsia="lv-LV"/>
        </w:rPr>
        <w:t xml:space="preserve"> </w:t>
      </w:r>
      <w:r w:rsidRPr="54283E0B">
        <w:rPr>
          <w:rFonts w:ascii="Arial" w:eastAsia="Times New Roman" w:hAnsi="Arial" w:cs="Arial"/>
          <w:color w:val="414142"/>
          <w:sz w:val="20"/>
          <w:szCs w:val="20"/>
          <w:lang w:eastAsia="lv-LV"/>
        </w:rPr>
        <w:t>Regulēšanas pakalpojuma nodrošināšanā tirgus dalībnieki un sistēmu operatori ievēro šā kodeksa </w:t>
      </w:r>
      <w:hyperlink r:id="rId14" w:anchor="piel8">
        <w:r w:rsidRPr="54283E0B">
          <w:rPr>
            <w:rFonts w:ascii="Arial" w:eastAsia="Times New Roman" w:hAnsi="Arial" w:cs="Arial"/>
            <w:color w:val="16497B"/>
            <w:sz w:val="20"/>
            <w:szCs w:val="20"/>
            <w:lang w:eastAsia="lv-LV"/>
          </w:rPr>
          <w:t>8.pielikumā</w:t>
        </w:r>
      </w:hyperlink>
      <w:r w:rsidRPr="54283E0B">
        <w:rPr>
          <w:rFonts w:ascii="Arial" w:eastAsia="Times New Roman" w:hAnsi="Arial" w:cs="Arial"/>
          <w:color w:val="414142"/>
          <w:sz w:val="20"/>
          <w:szCs w:val="20"/>
          <w:lang w:eastAsia="lv-LV"/>
        </w:rPr>
        <w:t> noteiktās prasības.</w:t>
      </w:r>
      <w:r>
        <w:rPr>
          <w:rFonts w:ascii="Arial" w:eastAsia="Times New Roman" w:hAnsi="Arial" w:cs="Arial"/>
          <w:color w:val="414142"/>
          <w:sz w:val="20"/>
          <w:szCs w:val="20"/>
          <w:lang w:eastAsia="lv-LV"/>
        </w:rPr>
        <w:t xml:space="preserve"> </w:t>
      </w:r>
    </w:p>
    <w:p w14:paraId="4FB13AA3" w14:textId="77777777" w:rsidR="0021074E" w:rsidRDefault="0021074E" w:rsidP="002439D1">
      <w:pPr>
        <w:jc w:val="both"/>
        <w:rPr>
          <w:b/>
          <w:bCs/>
        </w:rPr>
      </w:pPr>
    </w:p>
    <w:p w14:paraId="16229909" w14:textId="16382069" w:rsidR="0021074E" w:rsidRPr="00456473" w:rsidRDefault="00373B0E" w:rsidP="002439D1">
      <w:pPr>
        <w:jc w:val="both"/>
      </w:pPr>
      <w:r w:rsidRPr="00456473">
        <w:t xml:space="preserve">Izteikt Tīkla kodeksa 8. pielikuma 2. punktu sekojoši: </w:t>
      </w:r>
    </w:p>
    <w:p w14:paraId="56E4A7A4" w14:textId="559814F6" w:rsidR="00456473" w:rsidRDefault="00456473" w:rsidP="00456473">
      <w:pPr>
        <w:shd w:val="clear" w:color="auto" w:fill="FFFFFF" w:themeFill="background1"/>
        <w:spacing w:before="100" w:beforeAutospacing="1" w:after="100" w:afterAutospacing="1" w:line="293" w:lineRule="atLeast"/>
        <w:ind w:left="709" w:firstLine="300"/>
        <w:rPr>
          <w:rFonts w:ascii="Arial" w:eastAsia="Times New Roman" w:hAnsi="Arial" w:cs="Arial"/>
          <w:color w:val="414142"/>
          <w:sz w:val="20"/>
          <w:szCs w:val="20"/>
          <w:lang w:eastAsia="lv-LV"/>
        </w:rPr>
      </w:pPr>
      <w:r w:rsidRPr="604366E4">
        <w:rPr>
          <w:rFonts w:ascii="Arial" w:eastAsia="Times New Roman" w:hAnsi="Arial" w:cs="Arial"/>
          <w:color w:val="414142"/>
          <w:sz w:val="20"/>
          <w:szCs w:val="20"/>
          <w:lang w:eastAsia="lv-LV"/>
        </w:rPr>
        <w:t xml:space="preserve">2. Regulēšanas pakalpojuma sniedzējs regulēšanas pakalpojuma sniegšanai var izmantot šādas rezervju nodrošināšanas vienības </w:t>
      </w:r>
      <w:r w:rsidRPr="00EF46BA">
        <w:rPr>
          <w:rFonts w:ascii="Arial" w:eastAsia="Times New Roman" w:hAnsi="Arial" w:cs="Arial"/>
          <w:strike/>
          <w:color w:val="0F9ED5" w:themeColor="accent4"/>
          <w:sz w:val="20"/>
          <w:szCs w:val="20"/>
          <w:lang w:eastAsia="lv-LV"/>
        </w:rPr>
        <w:t>–frekvences atjaunošanas rezervju</w:t>
      </w:r>
      <w:r w:rsidRPr="00EF46BA">
        <w:rPr>
          <w:rFonts w:ascii="Arial" w:eastAsia="Times New Roman" w:hAnsi="Arial" w:cs="Arial"/>
          <w:color w:val="0F9ED5" w:themeColor="accent4"/>
          <w:sz w:val="20"/>
          <w:szCs w:val="20"/>
          <w:lang w:eastAsia="lv-LV"/>
        </w:rPr>
        <w:t xml:space="preserve"> </w:t>
      </w:r>
      <w:r w:rsidRPr="00EF46BA">
        <w:rPr>
          <w:rFonts w:ascii="Arial" w:eastAsia="Times New Roman" w:hAnsi="Arial" w:cs="Arial"/>
          <w:color w:val="0F9ED5" w:themeColor="accent4"/>
          <w:sz w:val="20"/>
          <w:szCs w:val="20"/>
          <w:u w:val="single"/>
          <w:lang w:eastAsia="lv-LV"/>
        </w:rPr>
        <w:t>regulēšanas produktu un regulēšanas jaudas produktu rezervju</w:t>
      </w:r>
      <w:r w:rsidRPr="00EF46BA">
        <w:rPr>
          <w:rFonts w:ascii="Arial" w:eastAsia="Times New Roman" w:hAnsi="Arial" w:cs="Arial"/>
          <w:color w:val="0F9ED5" w:themeColor="accent4"/>
          <w:sz w:val="20"/>
          <w:szCs w:val="20"/>
          <w:lang w:eastAsia="lv-LV"/>
        </w:rPr>
        <w:t xml:space="preserve"> </w:t>
      </w:r>
      <w:proofErr w:type="spellStart"/>
      <w:r w:rsidRPr="604366E4">
        <w:rPr>
          <w:rFonts w:ascii="Arial" w:eastAsia="Times New Roman" w:hAnsi="Arial" w:cs="Arial"/>
          <w:color w:val="414142"/>
          <w:sz w:val="20"/>
          <w:szCs w:val="20"/>
          <w:lang w:eastAsia="lv-LV"/>
        </w:rPr>
        <w:t>piegādātājvienības</w:t>
      </w:r>
      <w:proofErr w:type="spellEnd"/>
      <w:r w:rsidRPr="604366E4">
        <w:rPr>
          <w:rFonts w:ascii="Arial" w:eastAsia="Times New Roman" w:hAnsi="Arial" w:cs="Arial"/>
          <w:color w:val="414142"/>
          <w:sz w:val="20"/>
          <w:szCs w:val="20"/>
          <w:lang w:eastAsia="lv-LV"/>
        </w:rPr>
        <w:t xml:space="preserve"> un rezervju </w:t>
      </w:r>
      <w:proofErr w:type="spellStart"/>
      <w:r w:rsidRPr="604366E4">
        <w:rPr>
          <w:rFonts w:ascii="Arial" w:eastAsia="Times New Roman" w:hAnsi="Arial" w:cs="Arial"/>
          <w:color w:val="414142"/>
          <w:sz w:val="20"/>
          <w:szCs w:val="20"/>
          <w:lang w:eastAsia="lv-LV"/>
        </w:rPr>
        <w:t>piegādātājgrupas</w:t>
      </w:r>
      <w:proofErr w:type="spellEnd"/>
      <w:r w:rsidRPr="604366E4">
        <w:rPr>
          <w:rFonts w:ascii="Arial" w:eastAsia="Times New Roman" w:hAnsi="Arial" w:cs="Arial"/>
          <w:color w:val="414142"/>
          <w:sz w:val="20"/>
          <w:szCs w:val="20"/>
          <w:lang w:eastAsia="lv-LV"/>
        </w:rPr>
        <w:t>, ievērojot šādus nosacījumus:</w:t>
      </w:r>
    </w:p>
    <w:p w14:paraId="594DB7B5" w14:textId="71024EC8" w:rsidR="00456473" w:rsidRPr="00456473" w:rsidRDefault="00456473" w:rsidP="00456473">
      <w:pPr>
        <w:jc w:val="both"/>
      </w:pPr>
      <w:r w:rsidRPr="00456473">
        <w:lastRenderedPageBreak/>
        <w:t xml:space="preserve">Izteikt Tīkla kodeksa 8. pielikuma 13. punktu sekojoši: </w:t>
      </w:r>
    </w:p>
    <w:p w14:paraId="09C4ED09" w14:textId="592E295E" w:rsidR="00373B0E" w:rsidRDefault="00456473" w:rsidP="00456473">
      <w:pPr>
        <w:ind w:left="709" w:firstLine="284"/>
        <w:jc w:val="both"/>
        <w:rPr>
          <w:b/>
          <w:bCs/>
        </w:rPr>
      </w:pPr>
      <w:r w:rsidRPr="00CE1B0E">
        <w:rPr>
          <w:rFonts w:ascii="Arial" w:eastAsia="Times New Roman" w:hAnsi="Arial" w:cs="Arial"/>
          <w:color w:val="414142"/>
          <w:sz w:val="20"/>
          <w:szCs w:val="20"/>
          <w:lang w:eastAsia="lv-LV"/>
        </w:rPr>
        <w:t xml:space="preserve">13. Ja regulēšanas pakalpojuma sniedzēja balansēšanas pakalpojuma sniedzējs atšķiras no regulēšanas pakalpojuma sniedzēja regulēšanas produkta solījuma aktivizēšanā izmantotās rezervju nodrošināšanas </w:t>
      </w:r>
      <w:r w:rsidRPr="60D232FC">
        <w:rPr>
          <w:rFonts w:ascii="Arial" w:eastAsia="Times New Roman" w:hAnsi="Arial" w:cs="Arial"/>
          <w:color w:val="414142"/>
          <w:sz w:val="20"/>
          <w:szCs w:val="20"/>
          <w:lang w:eastAsia="lv-LV"/>
        </w:rPr>
        <w:t>vienības</w:t>
      </w:r>
      <w:r w:rsidRPr="00CE1B0E">
        <w:rPr>
          <w:rFonts w:ascii="Arial" w:eastAsia="Times New Roman" w:hAnsi="Arial" w:cs="Arial"/>
          <w:color w:val="414142"/>
          <w:sz w:val="20"/>
          <w:szCs w:val="20"/>
          <w:lang w:eastAsia="lv-LV"/>
        </w:rPr>
        <w:t xml:space="preserve"> balansēšanas pakalpojuma sniedzēja, uzskatāms, ka starp minētajiem balansēšanas pakalpojuma sniedzējiem ir veikts enerģijas tirdzniecības darījums, kura apjoms ir vienāds ar </w:t>
      </w:r>
      <w:r w:rsidRPr="00EF46BA">
        <w:rPr>
          <w:rFonts w:ascii="Arial" w:eastAsia="Times New Roman" w:hAnsi="Arial" w:cs="Arial"/>
          <w:strike/>
          <w:color w:val="0F9ED5" w:themeColor="accent4"/>
          <w:sz w:val="20"/>
          <w:szCs w:val="20"/>
          <w:lang w:eastAsia="lv-LV"/>
        </w:rPr>
        <w:t>faktiski</w:t>
      </w:r>
      <w:r>
        <w:rPr>
          <w:rFonts w:ascii="Arial" w:eastAsia="Times New Roman" w:hAnsi="Arial" w:cs="Arial"/>
          <w:color w:val="414142"/>
          <w:sz w:val="20"/>
          <w:szCs w:val="20"/>
          <w:lang w:eastAsia="lv-LV"/>
        </w:rPr>
        <w:t xml:space="preserve"> </w:t>
      </w:r>
      <w:r w:rsidRPr="00CE1B0E">
        <w:rPr>
          <w:rFonts w:ascii="Arial" w:eastAsia="Times New Roman" w:hAnsi="Arial" w:cs="Arial"/>
          <w:color w:val="414142"/>
          <w:sz w:val="20"/>
          <w:szCs w:val="20"/>
          <w:lang w:eastAsia="lv-LV"/>
        </w:rPr>
        <w:t>aktivizētā regulēšanas produkta solījuma enerģijas daudzumu.</w:t>
      </w:r>
    </w:p>
    <w:p w14:paraId="163595E5" w14:textId="1DF5078B" w:rsidR="00373B0E" w:rsidRPr="00456473" w:rsidRDefault="00373B0E" w:rsidP="002439D1">
      <w:pPr>
        <w:jc w:val="both"/>
      </w:pPr>
      <w:r w:rsidRPr="00456473">
        <w:t>Papildināt Tīkla kodeksa 8. pielikumu</w:t>
      </w:r>
      <w:r w:rsidR="00456473" w:rsidRPr="00456473">
        <w:t>:</w:t>
      </w:r>
    </w:p>
    <w:p w14:paraId="16228097" w14:textId="0C0809DE" w:rsidR="00373B0E" w:rsidRPr="00EF46BA" w:rsidRDefault="00373B0E" w:rsidP="00456473">
      <w:pPr>
        <w:ind w:left="709" w:firstLine="284"/>
        <w:jc w:val="both"/>
        <w:rPr>
          <w:rFonts w:ascii="Arial" w:eastAsia="Times New Roman" w:hAnsi="Arial" w:cs="Arial"/>
          <w:color w:val="0F9ED5" w:themeColor="accent4"/>
          <w:sz w:val="20"/>
          <w:szCs w:val="20"/>
          <w:u w:val="single"/>
          <w:lang w:eastAsia="lv-LV"/>
        </w:rPr>
      </w:pPr>
      <w:r w:rsidRPr="00EF46BA">
        <w:rPr>
          <w:rFonts w:ascii="Arial" w:eastAsia="Times New Roman" w:hAnsi="Arial" w:cs="Arial"/>
          <w:color w:val="0F9ED5" w:themeColor="accent4"/>
          <w:sz w:val="20"/>
          <w:szCs w:val="20"/>
          <w:u w:val="single"/>
          <w:lang w:eastAsia="lv-LV"/>
        </w:rPr>
        <w:t>11.</w:t>
      </w:r>
      <w:r w:rsidRPr="00EF46BA">
        <w:rPr>
          <w:rFonts w:ascii="Arial" w:eastAsia="Times New Roman" w:hAnsi="Arial" w:cs="Arial"/>
          <w:color w:val="0F9ED5" w:themeColor="accent4"/>
          <w:sz w:val="20"/>
          <w:szCs w:val="20"/>
          <w:u w:val="single"/>
          <w:vertAlign w:val="superscript"/>
          <w:lang w:eastAsia="lv-LV"/>
        </w:rPr>
        <w:t xml:space="preserve">1 </w:t>
      </w:r>
      <w:r w:rsidRPr="00EF46BA">
        <w:rPr>
          <w:rFonts w:ascii="Arial" w:eastAsia="Times New Roman" w:hAnsi="Arial" w:cs="Arial"/>
          <w:color w:val="0F9ED5" w:themeColor="accent4"/>
          <w:sz w:val="20"/>
          <w:szCs w:val="20"/>
          <w:u w:val="single"/>
          <w:lang w:eastAsia="lv-LV"/>
        </w:rPr>
        <w:t>Ja regulēšanas pakalpojuma sniedzējs nodrošina frekvences atjaunošanas rezervju regulēšanas jaudas produktu tā obligāts pienākums ir nodrošināt regulēšanas jaudas produktam atbilstoša apjoma un veida regulēšanas enerģijas produktu saskaņā ar normatīvo aktu prasībām.</w:t>
      </w:r>
    </w:p>
    <w:p w14:paraId="01F94643" w14:textId="29EF6F69" w:rsidR="00373B0E" w:rsidRPr="00EF46BA" w:rsidRDefault="00373B0E" w:rsidP="00456473">
      <w:pPr>
        <w:shd w:val="clear" w:color="auto" w:fill="FFFFFF"/>
        <w:spacing w:before="100" w:beforeAutospacing="1" w:after="100" w:afterAutospacing="1" w:line="293" w:lineRule="atLeast"/>
        <w:ind w:left="709" w:firstLine="284"/>
        <w:jc w:val="both"/>
        <w:rPr>
          <w:rFonts w:ascii="Arial" w:eastAsia="Times New Roman" w:hAnsi="Arial" w:cs="Arial"/>
          <w:color w:val="0F9ED5" w:themeColor="accent4"/>
          <w:sz w:val="20"/>
          <w:szCs w:val="20"/>
          <w:u w:val="single"/>
          <w:lang w:eastAsia="lv-LV"/>
        </w:rPr>
      </w:pPr>
      <w:r w:rsidRPr="00EF46BA">
        <w:rPr>
          <w:rFonts w:ascii="Arial" w:eastAsia="Times New Roman" w:hAnsi="Arial" w:cs="Arial"/>
          <w:color w:val="0F9ED5" w:themeColor="accent4"/>
          <w:sz w:val="20"/>
          <w:szCs w:val="20"/>
          <w:u w:val="single"/>
          <w:lang w:eastAsia="lv-LV"/>
        </w:rPr>
        <w:t>23.</w:t>
      </w:r>
      <w:r w:rsidRPr="00EF46BA">
        <w:rPr>
          <w:rFonts w:ascii="Arial" w:eastAsia="Times New Roman" w:hAnsi="Arial" w:cs="Arial"/>
          <w:color w:val="0F9ED5" w:themeColor="accent4"/>
          <w:sz w:val="20"/>
          <w:szCs w:val="20"/>
          <w:u w:val="single"/>
          <w:vertAlign w:val="superscript"/>
          <w:lang w:eastAsia="lv-LV"/>
        </w:rPr>
        <w:t>1</w:t>
      </w:r>
      <w:r w:rsidRPr="00EF46BA">
        <w:rPr>
          <w:rFonts w:ascii="Arial" w:eastAsia="Times New Roman" w:hAnsi="Arial" w:cs="Arial"/>
          <w:color w:val="0F9ED5" w:themeColor="accent4"/>
          <w:sz w:val="20"/>
          <w:szCs w:val="20"/>
          <w:u w:val="single"/>
          <w:lang w:eastAsia="lv-LV"/>
        </w:rPr>
        <w:t xml:space="preserve"> Maksu par regulēšanas pakalpojumu balansēšanas tirgus laika vienībā par pārvades sistēmas operatora nopirkto un regulēšanas pakalpojuma sniedzēja pārdoto regulēšanas jaudas daudzumu nosaka saskaņā ar Regulas Nr. 2017/2195 33. panta 1. punktu.</w:t>
      </w:r>
    </w:p>
    <w:p w14:paraId="73AFDC1E" w14:textId="77777777" w:rsidR="00373B0E" w:rsidRPr="002439D1" w:rsidRDefault="00373B0E" w:rsidP="002439D1">
      <w:pPr>
        <w:jc w:val="both"/>
        <w:rPr>
          <w:b/>
          <w:bCs/>
        </w:rPr>
      </w:pPr>
    </w:p>
    <w:sectPr w:rsidR="00373B0E" w:rsidRPr="002439D1">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Jolanta Graudone" w:date="2024-07-12T12:39:00Z" w:initials="JG">
    <w:p w14:paraId="39EB313E" w14:textId="77777777" w:rsidR="002439D1" w:rsidRDefault="002439D1" w:rsidP="002439D1">
      <w:pPr>
        <w:pStyle w:val="CommentText"/>
      </w:pPr>
      <w:r>
        <w:rPr>
          <w:rStyle w:val="CommentReference"/>
        </w:rPr>
        <w:annotationRef/>
      </w:r>
      <w:hyperlink r:id="rId1" w:history="1">
        <w:r w:rsidRPr="00B161E2">
          <w:rPr>
            <w:rStyle w:val="Hyperlink"/>
          </w:rPr>
          <w:t>https://www.ast.lv/lv/events/baltijas-balansesanas-jaudas-tirgus-priekslikums</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9EB31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E3B474A" w16cex:dateUtc="2024-07-12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9EB313E" w16cid:durableId="7E3B47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ACE76" w14:textId="77777777" w:rsidR="008F2BB3" w:rsidRDefault="008F2BB3" w:rsidP="002439D1">
      <w:pPr>
        <w:spacing w:after="0" w:line="240" w:lineRule="auto"/>
      </w:pPr>
      <w:r>
        <w:separator/>
      </w:r>
    </w:p>
  </w:endnote>
  <w:endnote w:type="continuationSeparator" w:id="0">
    <w:p w14:paraId="4DE19E35" w14:textId="77777777" w:rsidR="008F2BB3" w:rsidRDefault="008F2BB3" w:rsidP="00243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49D95" w14:textId="77777777" w:rsidR="008F2BB3" w:rsidRDefault="008F2BB3" w:rsidP="002439D1">
      <w:pPr>
        <w:spacing w:after="0" w:line="240" w:lineRule="auto"/>
      </w:pPr>
      <w:r>
        <w:separator/>
      </w:r>
    </w:p>
  </w:footnote>
  <w:footnote w:type="continuationSeparator" w:id="0">
    <w:p w14:paraId="2E22AF8D" w14:textId="77777777" w:rsidR="008F2BB3" w:rsidRDefault="008F2BB3" w:rsidP="002439D1">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lanta Graudone">
    <w15:presenceInfo w15:providerId="AD" w15:userId="S::jgraudo@tso.lv::713dcf30-1bc8-49ff-884a-1fba365d25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D1"/>
    <w:rsid w:val="00166726"/>
    <w:rsid w:val="001B291A"/>
    <w:rsid w:val="0021074E"/>
    <w:rsid w:val="002439D1"/>
    <w:rsid w:val="002644DF"/>
    <w:rsid w:val="00373B0E"/>
    <w:rsid w:val="00381FDB"/>
    <w:rsid w:val="00404119"/>
    <w:rsid w:val="00456473"/>
    <w:rsid w:val="004D67DA"/>
    <w:rsid w:val="00784568"/>
    <w:rsid w:val="008B74C3"/>
    <w:rsid w:val="008C244E"/>
    <w:rsid w:val="008F2BB3"/>
    <w:rsid w:val="00950CF6"/>
    <w:rsid w:val="00BE2358"/>
    <w:rsid w:val="00DA5297"/>
    <w:rsid w:val="00EF46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6CC9"/>
  <w15:chartTrackingRefBased/>
  <w15:docId w15:val="{3CF076F5-7EC7-405C-B255-404EEE21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9D1"/>
    <w:rPr>
      <w:kern w:val="0"/>
      <w14:ligatures w14:val="none"/>
    </w:rPr>
  </w:style>
  <w:style w:type="paragraph" w:styleId="Heading1">
    <w:name w:val="heading 1"/>
    <w:basedOn w:val="Normal"/>
    <w:next w:val="Normal"/>
    <w:link w:val="Heading1Char"/>
    <w:uiPriority w:val="9"/>
    <w:qFormat/>
    <w:rsid w:val="002439D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439D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439D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439D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439D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439D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439D1"/>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439D1"/>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439D1"/>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9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9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9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9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9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9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9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9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9D1"/>
    <w:rPr>
      <w:rFonts w:eastAsiaTheme="majorEastAsia" w:cstheme="majorBidi"/>
      <w:color w:val="272727" w:themeColor="text1" w:themeTint="D8"/>
    </w:rPr>
  </w:style>
  <w:style w:type="paragraph" w:styleId="Title">
    <w:name w:val="Title"/>
    <w:basedOn w:val="Normal"/>
    <w:next w:val="Normal"/>
    <w:link w:val="TitleChar"/>
    <w:uiPriority w:val="10"/>
    <w:qFormat/>
    <w:rsid w:val="002439D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439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9D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439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9D1"/>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439D1"/>
    <w:rPr>
      <w:i/>
      <w:iCs/>
      <w:color w:val="404040" w:themeColor="text1" w:themeTint="BF"/>
    </w:rPr>
  </w:style>
  <w:style w:type="paragraph" w:styleId="ListParagraph">
    <w:name w:val="List Paragraph"/>
    <w:basedOn w:val="Normal"/>
    <w:uiPriority w:val="34"/>
    <w:qFormat/>
    <w:rsid w:val="002439D1"/>
    <w:pPr>
      <w:ind w:left="720"/>
      <w:contextualSpacing/>
    </w:pPr>
    <w:rPr>
      <w:kern w:val="2"/>
      <w14:ligatures w14:val="standardContextual"/>
    </w:rPr>
  </w:style>
  <w:style w:type="character" w:styleId="IntenseEmphasis">
    <w:name w:val="Intense Emphasis"/>
    <w:basedOn w:val="DefaultParagraphFont"/>
    <w:uiPriority w:val="21"/>
    <w:qFormat/>
    <w:rsid w:val="002439D1"/>
    <w:rPr>
      <w:i/>
      <w:iCs/>
      <w:color w:val="0F4761" w:themeColor="accent1" w:themeShade="BF"/>
    </w:rPr>
  </w:style>
  <w:style w:type="paragraph" w:styleId="IntenseQuote">
    <w:name w:val="Intense Quote"/>
    <w:basedOn w:val="Normal"/>
    <w:next w:val="Normal"/>
    <w:link w:val="IntenseQuoteChar"/>
    <w:uiPriority w:val="30"/>
    <w:qFormat/>
    <w:rsid w:val="00243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439D1"/>
    <w:rPr>
      <w:i/>
      <w:iCs/>
      <w:color w:val="0F4761" w:themeColor="accent1" w:themeShade="BF"/>
    </w:rPr>
  </w:style>
  <w:style w:type="character" w:styleId="IntenseReference">
    <w:name w:val="Intense Reference"/>
    <w:basedOn w:val="DefaultParagraphFont"/>
    <w:uiPriority w:val="32"/>
    <w:qFormat/>
    <w:rsid w:val="002439D1"/>
    <w:rPr>
      <w:b/>
      <w:bCs/>
      <w:smallCaps/>
      <w:color w:val="0F4761" w:themeColor="accent1" w:themeShade="BF"/>
      <w:spacing w:val="5"/>
    </w:rPr>
  </w:style>
  <w:style w:type="character" w:styleId="CommentReference">
    <w:name w:val="annotation reference"/>
    <w:basedOn w:val="DefaultParagraphFont"/>
    <w:uiPriority w:val="99"/>
    <w:semiHidden/>
    <w:unhideWhenUsed/>
    <w:rsid w:val="002439D1"/>
    <w:rPr>
      <w:sz w:val="16"/>
      <w:szCs w:val="16"/>
    </w:rPr>
  </w:style>
  <w:style w:type="paragraph" w:styleId="CommentText">
    <w:name w:val="annotation text"/>
    <w:basedOn w:val="Normal"/>
    <w:link w:val="CommentTextChar"/>
    <w:uiPriority w:val="99"/>
    <w:unhideWhenUsed/>
    <w:rsid w:val="002439D1"/>
    <w:pPr>
      <w:spacing w:line="240" w:lineRule="auto"/>
    </w:pPr>
    <w:rPr>
      <w:sz w:val="20"/>
      <w:szCs w:val="20"/>
    </w:rPr>
  </w:style>
  <w:style w:type="character" w:customStyle="1" w:styleId="CommentTextChar">
    <w:name w:val="Comment Text Char"/>
    <w:basedOn w:val="DefaultParagraphFont"/>
    <w:link w:val="CommentText"/>
    <w:uiPriority w:val="99"/>
    <w:rsid w:val="002439D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439D1"/>
    <w:rPr>
      <w:b/>
      <w:bCs/>
    </w:rPr>
  </w:style>
  <w:style w:type="character" w:customStyle="1" w:styleId="CommentSubjectChar">
    <w:name w:val="Comment Subject Char"/>
    <w:basedOn w:val="CommentTextChar"/>
    <w:link w:val="CommentSubject"/>
    <w:uiPriority w:val="99"/>
    <w:semiHidden/>
    <w:rsid w:val="002439D1"/>
    <w:rPr>
      <w:b/>
      <w:bCs/>
      <w:kern w:val="0"/>
      <w:sz w:val="20"/>
      <w:szCs w:val="20"/>
      <w14:ligatures w14:val="none"/>
    </w:rPr>
  </w:style>
  <w:style w:type="character" w:styleId="Hyperlink">
    <w:name w:val="Hyperlink"/>
    <w:basedOn w:val="DefaultParagraphFont"/>
    <w:uiPriority w:val="99"/>
    <w:unhideWhenUsed/>
    <w:rsid w:val="002439D1"/>
    <w:rPr>
      <w:color w:val="467886" w:themeColor="hyperlink"/>
      <w:u w:val="single"/>
    </w:rPr>
  </w:style>
  <w:style w:type="character" w:styleId="UnresolvedMention">
    <w:name w:val="Unresolved Mention"/>
    <w:basedOn w:val="DefaultParagraphFont"/>
    <w:uiPriority w:val="99"/>
    <w:semiHidden/>
    <w:unhideWhenUsed/>
    <w:rsid w:val="002439D1"/>
    <w:rPr>
      <w:color w:val="605E5C"/>
      <w:shd w:val="clear" w:color="auto" w:fill="E1DFDD"/>
    </w:rPr>
  </w:style>
  <w:style w:type="paragraph" w:styleId="Header">
    <w:name w:val="header"/>
    <w:basedOn w:val="Normal"/>
    <w:link w:val="HeaderChar"/>
    <w:uiPriority w:val="99"/>
    <w:unhideWhenUsed/>
    <w:rsid w:val="002439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39D1"/>
    <w:rPr>
      <w:kern w:val="0"/>
      <w14:ligatures w14:val="none"/>
    </w:rPr>
  </w:style>
  <w:style w:type="paragraph" w:styleId="Footer">
    <w:name w:val="footer"/>
    <w:basedOn w:val="Normal"/>
    <w:link w:val="FooterChar"/>
    <w:uiPriority w:val="99"/>
    <w:unhideWhenUsed/>
    <w:rsid w:val="002439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39D1"/>
    <w:rPr>
      <w:kern w:val="0"/>
      <w14:ligatures w14:val="none"/>
    </w:rPr>
  </w:style>
  <w:style w:type="paragraph" w:styleId="Revision">
    <w:name w:val="Revision"/>
    <w:hidden/>
    <w:uiPriority w:val="99"/>
    <w:semiHidden/>
    <w:rsid w:val="002439D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ast.lv/lv/events/baltijas-balansesanas-jaudas-tirgus-priekslikum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m.likumi.lv/ta/id/257943" TargetMode="Externa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hyperlink" Target="http://eur-lex.europa.eu/eli/reg/2017/2195/oj/?locale=LV" TargetMode="Externa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hyperlink" Target="https://www.ast.lv/lv/events/baltijas-balansesanas-jaudas-tirgus-priekslikums" TargetMode="External"/><Relationship Id="rId11" Type="http://schemas.openxmlformats.org/officeDocument/2006/relationships/hyperlink" Target="http://eur-lex.europa.eu/eli/reg/2017/2195/oj/?locale=LV" TargetMode="External"/><Relationship Id="rId5" Type="http://schemas.openxmlformats.org/officeDocument/2006/relationships/endnotes" Target="end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 Id="rId14" Type="http://schemas.openxmlformats.org/officeDocument/2006/relationships/hyperlink" Target="https://m.likumi.lv/ta/id/2579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4540</Words>
  <Characters>2589</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AST</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Graudone</dc:creator>
  <cp:keywords/>
  <dc:description/>
  <cp:lastModifiedBy>Jolanta Graudone</cp:lastModifiedBy>
  <cp:revision>7</cp:revision>
  <dcterms:created xsi:type="dcterms:W3CDTF">2024-07-12T09:37:00Z</dcterms:created>
  <dcterms:modified xsi:type="dcterms:W3CDTF">2024-07-12T10:49:00Z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fd26-8a8e-4271-ae8c-0448cc98c6fa_Enabled">
    <vt:lpwstr>true</vt:lpwstr>
  </property>
  <property fmtid="{D5CDD505-2E9C-101B-9397-08002B2CF9AE}" pid="3" name="MSIP_Label_66cffd26-8a8e-4271-ae8c-0448cc98c6fa_SetDate">
    <vt:lpwstr>2024-07-12T10:34:08Z</vt:lpwstr>
  </property>
  <property fmtid="{D5CDD505-2E9C-101B-9397-08002B2CF9AE}" pid="4" name="MSIP_Label_66cffd26-8a8e-4271-ae8c-0448cc98c6fa_Method">
    <vt:lpwstr>Standard</vt:lpwstr>
  </property>
  <property fmtid="{D5CDD505-2E9C-101B-9397-08002B2CF9AE}" pid="5" name="MSIP_Label_66cffd26-8a8e-4271-ae8c-0448cc98c6fa_Name">
    <vt:lpwstr>AST dokumenti</vt:lpwstr>
  </property>
  <property fmtid="{D5CDD505-2E9C-101B-9397-08002B2CF9AE}" pid="6" name="MSIP_Label_66cffd26-8a8e-4271-ae8c-0448cc98c6fa_SiteId">
    <vt:lpwstr>c4c0dd7c-1dfb-4088-9303-96b608da35b3</vt:lpwstr>
  </property>
  <property fmtid="{D5CDD505-2E9C-101B-9397-08002B2CF9AE}" pid="7" name="MSIP_Label_66cffd26-8a8e-4271-ae8c-0448cc98c6fa_ActionId">
    <vt:lpwstr>1375246d-380b-4e3f-9cb1-86e3d7a24ee2</vt:lpwstr>
  </property>
  <property fmtid="{D5CDD505-2E9C-101B-9397-08002B2CF9AE}" pid="8" name="MSIP_Label_66cffd26-8a8e-4271-ae8c-0448cc98c6fa_ContentBits">
    <vt:lpwstr>0</vt:lpwstr>
  </property>
</Properties>
</file>