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ED00D" w14:textId="334464AC" w:rsidR="00756E95" w:rsidRPr="0022311A" w:rsidRDefault="00E86472" w:rsidP="00003141">
      <w:pPr>
        <w:pStyle w:val="Default"/>
        <w:keepNext/>
        <w:keepLines/>
        <w:spacing w:after="180"/>
        <w:contextualSpacing/>
        <w:jc w:val="center"/>
        <w:rPr>
          <w:b/>
          <w:bCs/>
          <w:sz w:val="22"/>
          <w:szCs w:val="22"/>
          <w:lang w:val="lv-LV"/>
        </w:rPr>
      </w:pPr>
      <w:r w:rsidRPr="0022311A">
        <w:rPr>
          <w:b/>
          <w:bCs/>
          <w:sz w:val="22"/>
          <w:szCs w:val="22"/>
          <w:lang w:val="lv-LV"/>
        </w:rPr>
        <w:t xml:space="preserve"> </w:t>
      </w:r>
    </w:p>
    <w:p w14:paraId="71904E19" w14:textId="77777777" w:rsidR="00003141" w:rsidRPr="0022311A" w:rsidRDefault="00003141" w:rsidP="00003141">
      <w:pPr>
        <w:spacing w:after="180"/>
        <w:contextualSpacing/>
        <w:jc w:val="right"/>
        <w:rPr>
          <w:szCs w:val="24"/>
        </w:rPr>
      </w:pPr>
      <w:r w:rsidRPr="0022311A">
        <w:rPr>
          <w:szCs w:val="24"/>
        </w:rPr>
        <w:t>Apstiprināti ar</w:t>
      </w:r>
    </w:p>
    <w:p w14:paraId="48110AF2" w14:textId="77777777" w:rsidR="00003141" w:rsidRPr="0022311A" w:rsidRDefault="00003141" w:rsidP="00003141">
      <w:pPr>
        <w:spacing w:after="180"/>
        <w:contextualSpacing/>
        <w:jc w:val="right"/>
        <w:rPr>
          <w:szCs w:val="24"/>
        </w:rPr>
      </w:pPr>
      <w:r w:rsidRPr="0022311A">
        <w:rPr>
          <w:szCs w:val="24"/>
        </w:rPr>
        <w:t xml:space="preserve"> AS “Augtsprieguma tīkls”</w:t>
      </w:r>
    </w:p>
    <w:p w14:paraId="50DDB51D" w14:textId="65F2EBE4" w:rsidR="00003141" w:rsidRPr="0022311A" w:rsidRDefault="00003141" w:rsidP="00003141">
      <w:pPr>
        <w:spacing w:after="180"/>
        <w:contextualSpacing/>
        <w:jc w:val="right"/>
        <w:rPr>
          <w:szCs w:val="24"/>
        </w:rPr>
      </w:pPr>
      <w:r w:rsidRPr="0022311A">
        <w:rPr>
          <w:szCs w:val="24"/>
          <w:lang w:val="en-US"/>
        </w:rPr>
        <w:t xml:space="preserve"> </w:t>
      </w:r>
      <w:r w:rsidRPr="0022311A">
        <w:rPr>
          <w:szCs w:val="24"/>
        </w:rPr>
        <w:t>valdes 2017.gada</w:t>
      </w:r>
      <w:r w:rsidR="0062273A">
        <w:rPr>
          <w:szCs w:val="24"/>
        </w:rPr>
        <w:t xml:space="preserve"> 20.</w:t>
      </w:r>
      <w:r w:rsidR="00C1291D">
        <w:rPr>
          <w:szCs w:val="24"/>
        </w:rPr>
        <w:t>decembra</w:t>
      </w:r>
      <w:r w:rsidRPr="0022311A">
        <w:rPr>
          <w:szCs w:val="24"/>
        </w:rPr>
        <w:t xml:space="preserve"> lēmumu Nr.</w:t>
      </w:r>
      <w:r w:rsidR="0062273A" w:rsidRPr="0062273A">
        <w:t xml:space="preserve"> </w:t>
      </w:r>
      <w:r w:rsidR="0062273A" w:rsidRPr="0062273A">
        <w:rPr>
          <w:szCs w:val="24"/>
        </w:rPr>
        <w:t>169/58</w:t>
      </w:r>
    </w:p>
    <w:p w14:paraId="6479F326" w14:textId="22D32AFE" w:rsidR="00003141" w:rsidRPr="0022311A" w:rsidRDefault="00A22F8D" w:rsidP="00003141">
      <w:pPr>
        <w:spacing w:after="180"/>
        <w:jc w:val="center"/>
        <w:rPr>
          <w:b/>
          <w:szCs w:val="24"/>
        </w:rPr>
      </w:pPr>
      <w:r w:rsidRPr="0022311A">
        <w:rPr>
          <w:b/>
          <w:szCs w:val="24"/>
        </w:rPr>
        <w:t xml:space="preserve">Sistēmas </w:t>
      </w:r>
      <w:r w:rsidR="00621F65" w:rsidRPr="0022311A">
        <w:rPr>
          <w:b/>
          <w:szCs w:val="24"/>
        </w:rPr>
        <w:t>p</w:t>
      </w:r>
      <w:r w:rsidR="00003141" w:rsidRPr="0022311A">
        <w:rPr>
          <w:b/>
          <w:szCs w:val="24"/>
        </w:rPr>
        <w:t xml:space="preserve">alīgpakalpojuma līguma </w:t>
      </w:r>
      <w:r w:rsidR="00C15675">
        <w:rPr>
          <w:b/>
          <w:szCs w:val="24"/>
        </w:rPr>
        <w:t>R</w:t>
      </w:r>
      <w:r w:rsidRPr="0022311A">
        <w:rPr>
          <w:b/>
          <w:szCs w:val="24"/>
        </w:rPr>
        <w:t xml:space="preserve">egulēšanas pakalpojuma </w:t>
      </w:r>
      <w:r w:rsidR="00003141" w:rsidRPr="0022311A">
        <w:rPr>
          <w:b/>
          <w:szCs w:val="24"/>
        </w:rPr>
        <w:t>sniegšanas noteikumi</w:t>
      </w:r>
    </w:p>
    <w:p w14:paraId="6C0F4593" w14:textId="77777777" w:rsidR="00003141" w:rsidRPr="00A4543F" w:rsidRDefault="00003141" w:rsidP="007B590D">
      <w:pPr>
        <w:pStyle w:val="Heading1"/>
        <w:numPr>
          <w:ilvl w:val="0"/>
          <w:numId w:val="1"/>
        </w:numPr>
        <w:spacing w:before="0"/>
        <w:ind w:left="714" w:hanging="357"/>
        <w:contextualSpacing/>
        <w:jc w:val="center"/>
        <w:rPr>
          <w:rFonts w:ascii="Times New Roman" w:hAnsi="Times New Roman" w:cs="Times New Roman"/>
          <w:caps/>
          <w:color w:val="auto"/>
          <w:sz w:val="22"/>
          <w:szCs w:val="22"/>
        </w:rPr>
      </w:pPr>
      <w:bookmarkStart w:id="0" w:name="_Toc499620388"/>
      <w:r w:rsidRPr="00A4543F">
        <w:rPr>
          <w:rFonts w:ascii="Times New Roman" w:hAnsi="Times New Roman" w:cs="Times New Roman"/>
          <w:caps/>
          <w:color w:val="auto"/>
          <w:sz w:val="22"/>
          <w:szCs w:val="22"/>
        </w:rPr>
        <w:t>Vispārīgie jautājumi</w:t>
      </w:r>
      <w:bookmarkEnd w:id="0"/>
    </w:p>
    <w:p w14:paraId="20ED0BDE" w14:textId="0E147CF3" w:rsidR="00003141" w:rsidRPr="00A4543F" w:rsidRDefault="00003141" w:rsidP="00E73D8A">
      <w:pPr>
        <w:pStyle w:val="ListParagraph"/>
        <w:numPr>
          <w:ilvl w:val="1"/>
          <w:numId w:val="1"/>
        </w:numPr>
        <w:spacing w:after="180"/>
        <w:ind w:left="709" w:hanging="709"/>
        <w:jc w:val="both"/>
        <w:rPr>
          <w:sz w:val="22"/>
        </w:rPr>
      </w:pPr>
      <w:r w:rsidRPr="00A4543F">
        <w:rPr>
          <w:sz w:val="22"/>
        </w:rPr>
        <w:t xml:space="preserve">Šo Noteikumu mērķis ir noteikt kārtību, kādā regulēšanas pakalpojuma sniedzējs (turpmāk - RPS) sniedz un AS “Augstsprieguma tīkls” (turpmāk - PSO) saņem regulēšanas pakalpojumu </w:t>
      </w:r>
      <w:r w:rsidR="00A22F8D" w:rsidRPr="00A4543F">
        <w:rPr>
          <w:sz w:val="22"/>
        </w:rPr>
        <w:t>Sistēmas p</w:t>
      </w:r>
      <w:r w:rsidRPr="00A4543F">
        <w:rPr>
          <w:sz w:val="22"/>
        </w:rPr>
        <w:t>alīgpakalpojuma līguma (turpmāk – Līgums) ietvaros.</w:t>
      </w:r>
    </w:p>
    <w:p w14:paraId="40ED1A0B" w14:textId="77777777" w:rsidR="00003141" w:rsidRPr="00A4543F" w:rsidRDefault="00003141" w:rsidP="00E73D8A">
      <w:pPr>
        <w:pStyle w:val="ListParagraph"/>
        <w:numPr>
          <w:ilvl w:val="1"/>
          <w:numId w:val="1"/>
        </w:numPr>
        <w:spacing w:after="180"/>
        <w:ind w:left="709" w:hanging="709"/>
        <w:jc w:val="both"/>
        <w:rPr>
          <w:sz w:val="22"/>
        </w:rPr>
      </w:pPr>
      <w:r w:rsidRPr="00A4543F">
        <w:rPr>
          <w:sz w:val="22"/>
        </w:rPr>
        <w:t>Šajos Noteikumos ir lietoti šādi termini:</w:t>
      </w:r>
    </w:p>
    <w:p w14:paraId="5B261862" w14:textId="5C0DB057" w:rsidR="00E86472" w:rsidRPr="00D57579" w:rsidRDefault="00E86472" w:rsidP="00D57579">
      <w:pPr>
        <w:pStyle w:val="ListParagraph"/>
        <w:numPr>
          <w:ilvl w:val="2"/>
          <w:numId w:val="7"/>
        </w:numPr>
        <w:spacing w:after="180"/>
        <w:ind w:left="1560" w:hanging="851"/>
        <w:jc w:val="both"/>
        <w:rPr>
          <w:sz w:val="22"/>
        </w:rPr>
      </w:pPr>
      <w:r w:rsidRPr="00D57579">
        <w:rPr>
          <w:sz w:val="22"/>
        </w:rPr>
        <w:t xml:space="preserve">regulēšanas produkts </w:t>
      </w:r>
      <w:r w:rsidR="00FE7849" w:rsidRPr="00D57579">
        <w:rPr>
          <w:sz w:val="22"/>
        </w:rPr>
        <w:t xml:space="preserve">- </w:t>
      </w:r>
      <w:r w:rsidR="00621F65" w:rsidRPr="00D57579">
        <w:rPr>
          <w:sz w:val="22"/>
        </w:rPr>
        <w:t xml:space="preserve">produkts, kas atbilst </w:t>
      </w:r>
      <w:r w:rsidR="00D57579" w:rsidRPr="00A4543F">
        <w:rPr>
          <w:sz w:val="22"/>
        </w:rPr>
        <w:t>Vienotaj</w:t>
      </w:r>
      <w:r w:rsidR="00D57579">
        <w:rPr>
          <w:sz w:val="22"/>
        </w:rPr>
        <w:t>os</w:t>
      </w:r>
      <w:r w:rsidR="00D57579" w:rsidRPr="00A4543F">
        <w:rPr>
          <w:sz w:val="22"/>
        </w:rPr>
        <w:t xml:space="preserve"> Baltijas</w:t>
      </w:r>
      <w:r w:rsidR="00D57579">
        <w:rPr>
          <w:sz w:val="22"/>
        </w:rPr>
        <w:t xml:space="preserve"> balansēšanas tirgus noteikumos (turpmāk - Tirgus noteikumos)</w:t>
      </w:r>
      <w:r w:rsidR="00D57579" w:rsidRPr="00D57579">
        <w:rPr>
          <w:sz w:val="22"/>
        </w:rPr>
        <w:t xml:space="preserve"> </w:t>
      </w:r>
      <w:r w:rsidR="00621F65" w:rsidRPr="00D57579">
        <w:rPr>
          <w:sz w:val="22"/>
        </w:rPr>
        <w:t xml:space="preserve">minētā </w:t>
      </w:r>
      <w:r w:rsidR="006B4BE3">
        <w:rPr>
          <w:sz w:val="22"/>
        </w:rPr>
        <w:t xml:space="preserve">manuālās frekvences atjaunošanas rezerves (turpmāk – mFRR) </w:t>
      </w:r>
      <w:r w:rsidR="00621F65" w:rsidRPr="00D57579">
        <w:rPr>
          <w:sz w:val="22"/>
        </w:rPr>
        <w:t>standarta pro</w:t>
      </w:r>
      <w:bookmarkStart w:id="1" w:name="_GoBack"/>
      <w:bookmarkEnd w:id="1"/>
      <w:r w:rsidR="00621F65" w:rsidRPr="00D57579">
        <w:rPr>
          <w:sz w:val="22"/>
        </w:rPr>
        <w:t>dukta noteiktajai specifikācijai.</w:t>
      </w:r>
    </w:p>
    <w:p w14:paraId="6C290DB6" w14:textId="1432E548" w:rsidR="00AB4A7F" w:rsidRPr="00D57579" w:rsidRDefault="00AB4A7F" w:rsidP="00D57579">
      <w:pPr>
        <w:pStyle w:val="ListParagraph"/>
        <w:numPr>
          <w:ilvl w:val="2"/>
          <w:numId w:val="7"/>
        </w:numPr>
        <w:spacing w:after="180"/>
        <w:ind w:left="1560" w:hanging="851"/>
        <w:jc w:val="both"/>
        <w:rPr>
          <w:sz w:val="22"/>
        </w:rPr>
      </w:pPr>
      <w:r w:rsidRPr="00D57579">
        <w:rPr>
          <w:sz w:val="22"/>
        </w:rPr>
        <w:t xml:space="preserve">regulēšanas enerģija </w:t>
      </w:r>
      <w:r w:rsidR="00FE7849" w:rsidRPr="00D57579">
        <w:rPr>
          <w:sz w:val="22"/>
        </w:rPr>
        <w:t xml:space="preserve">- </w:t>
      </w:r>
      <w:r w:rsidRPr="00D57579">
        <w:rPr>
          <w:sz w:val="22"/>
        </w:rPr>
        <w:t>enerģija, ko PSO izmanto balansēšanai un ko nodrošina  RPS</w:t>
      </w:r>
      <w:r w:rsidR="00621F65" w:rsidRPr="00D57579">
        <w:rPr>
          <w:sz w:val="22"/>
        </w:rPr>
        <w:t xml:space="preserve">. Regulēšanas enerģijas apjomu nosaka kā aktivizētās </w:t>
      </w:r>
      <w:r w:rsidR="00B85DE3" w:rsidRPr="00D57579">
        <w:rPr>
          <w:sz w:val="22"/>
        </w:rPr>
        <w:t xml:space="preserve">regulēšanas </w:t>
      </w:r>
      <w:r w:rsidR="00621F65" w:rsidRPr="00D57579">
        <w:rPr>
          <w:sz w:val="22"/>
        </w:rPr>
        <w:t xml:space="preserve">jaudas </w:t>
      </w:r>
      <w:r w:rsidR="00AB3F5B">
        <w:rPr>
          <w:sz w:val="22"/>
        </w:rPr>
        <w:t xml:space="preserve">megavatos </w:t>
      </w:r>
      <w:r w:rsidR="00621F65" w:rsidRPr="00D57579">
        <w:rPr>
          <w:sz w:val="22"/>
        </w:rPr>
        <w:t xml:space="preserve">un </w:t>
      </w:r>
      <w:r w:rsidR="00B85DE3" w:rsidRPr="00D57579">
        <w:rPr>
          <w:sz w:val="22"/>
        </w:rPr>
        <w:t xml:space="preserve">tās </w:t>
      </w:r>
      <w:r w:rsidR="00621F65" w:rsidRPr="00D57579">
        <w:rPr>
          <w:sz w:val="22"/>
        </w:rPr>
        <w:t xml:space="preserve">aktivizācijas ilguma </w:t>
      </w:r>
      <w:r w:rsidR="006B4BE3">
        <w:rPr>
          <w:sz w:val="22"/>
        </w:rPr>
        <w:t>stundās</w:t>
      </w:r>
      <w:r w:rsidR="006B4BE3" w:rsidRPr="00D57579">
        <w:rPr>
          <w:sz w:val="22"/>
        </w:rPr>
        <w:t xml:space="preserve"> </w:t>
      </w:r>
      <w:r w:rsidR="00621F65" w:rsidRPr="00D57579">
        <w:rPr>
          <w:sz w:val="22"/>
        </w:rPr>
        <w:t>reizinājumu</w:t>
      </w:r>
      <w:r w:rsidRPr="00D57579">
        <w:rPr>
          <w:sz w:val="22"/>
        </w:rPr>
        <w:t>;</w:t>
      </w:r>
    </w:p>
    <w:p w14:paraId="6023C7D8" w14:textId="51DEBC7E" w:rsidR="00AB4A7F" w:rsidRPr="00D57579" w:rsidRDefault="00AB4A7F" w:rsidP="00D57579">
      <w:pPr>
        <w:pStyle w:val="ListParagraph"/>
        <w:numPr>
          <w:ilvl w:val="2"/>
          <w:numId w:val="7"/>
        </w:numPr>
        <w:spacing w:after="180"/>
        <w:ind w:left="1560" w:hanging="851"/>
        <w:jc w:val="both"/>
        <w:rPr>
          <w:sz w:val="22"/>
        </w:rPr>
      </w:pPr>
      <w:r w:rsidRPr="00D57579">
        <w:rPr>
          <w:sz w:val="22"/>
        </w:rPr>
        <w:t xml:space="preserve">regulēšanas jauda </w:t>
      </w:r>
      <w:r w:rsidR="00FE7849" w:rsidRPr="00D57579">
        <w:rPr>
          <w:sz w:val="22"/>
        </w:rPr>
        <w:t xml:space="preserve">- </w:t>
      </w:r>
      <w:r w:rsidRPr="00D57579">
        <w:rPr>
          <w:sz w:val="22"/>
        </w:rPr>
        <w:t>rezerves jaudas daudzums, kuru RPS piekritis uzturēt un attiecībā</w:t>
      </w:r>
      <w:r w:rsidR="006B4BE3">
        <w:rPr>
          <w:sz w:val="22"/>
        </w:rPr>
        <w:t xml:space="preserve"> </w:t>
      </w:r>
      <w:r w:rsidRPr="00D57579">
        <w:rPr>
          <w:sz w:val="22"/>
        </w:rPr>
        <w:t xml:space="preserve">uz kuru RPS ir piekritis uz līguma darbības laiku iesniegt PSO </w:t>
      </w:r>
      <w:r w:rsidR="00D51430">
        <w:rPr>
          <w:sz w:val="22"/>
        </w:rPr>
        <w:t xml:space="preserve">regulēšanas produkta </w:t>
      </w:r>
      <w:r w:rsidRPr="00D57579">
        <w:rPr>
          <w:sz w:val="22"/>
        </w:rPr>
        <w:t>solījumus par atbilstošu regulēšanas enerģijas daudzumu;</w:t>
      </w:r>
    </w:p>
    <w:p w14:paraId="55A3E62B" w14:textId="37F42218" w:rsidR="00AB4A7F" w:rsidRPr="00D57579" w:rsidRDefault="00AB4A7F" w:rsidP="00D57579">
      <w:pPr>
        <w:pStyle w:val="ListParagraph"/>
        <w:numPr>
          <w:ilvl w:val="2"/>
          <w:numId w:val="7"/>
        </w:numPr>
        <w:tabs>
          <w:tab w:val="left" w:pos="1560"/>
        </w:tabs>
        <w:spacing w:after="180"/>
        <w:ind w:left="1560" w:hanging="851"/>
        <w:jc w:val="both"/>
        <w:rPr>
          <w:sz w:val="22"/>
        </w:rPr>
      </w:pPr>
      <w:r w:rsidRPr="00D57579">
        <w:rPr>
          <w:sz w:val="22"/>
        </w:rPr>
        <w:t xml:space="preserve">norēķinu periods – laika periods, par kuru veic norēķinus par </w:t>
      </w:r>
      <w:r w:rsidR="00CC7470" w:rsidRPr="00D57579">
        <w:rPr>
          <w:sz w:val="22"/>
        </w:rPr>
        <w:t xml:space="preserve">regulēšanas </w:t>
      </w:r>
      <w:r w:rsidRPr="00D57579">
        <w:rPr>
          <w:sz w:val="22"/>
        </w:rPr>
        <w:t xml:space="preserve">pakalpojuma </w:t>
      </w:r>
      <w:r w:rsidR="00B85DE3" w:rsidRPr="00D57579">
        <w:rPr>
          <w:sz w:val="22"/>
        </w:rPr>
        <w:t>sniegšanu</w:t>
      </w:r>
      <w:r w:rsidRPr="00D57579">
        <w:rPr>
          <w:sz w:val="22"/>
        </w:rPr>
        <w:t xml:space="preserve">; norēķinu periods ir viens </w:t>
      </w:r>
      <w:r w:rsidR="00B85DE3" w:rsidRPr="00D57579">
        <w:rPr>
          <w:sz w:val="22"/>
        </w:rPr>
        <w:t xml:space="preserve">kalendārais </w:t>
      </w:r>
      <w:r w:rsidRPr="00D57579">
        <w:rPr>
          <w:sz w:val="22"/>
        </w:rPr>
        <w:t>mēnesis;</w:t>
      </w:r>
    </w:p>
    <w:p w14:paraId="153AF6D8" w14:textId="2100E694" w:rsidR="00AB4A7F" w:rsidRPr="00D57579" w:rsidRDefault="00AB4A7F" w:rsidP="00D57579">
      <w:pPr>
        <w:pStyle w:val="ListParagraph"/>
        <w:numPr>
          <w:ilvl w:val="2"/>
          <w:numId w:val="7"/>
        </w:numPr>
        <w:spacing w:after="180"/>
        <w:ind w:left="1560" w:hanging="851"/>
        <w:jc w:val="both"/>
        <w:rPr>
          <w:sz w:val="22"/>
        </w:rPr>
      </w:pPr>
      <w:r w:rsidRPr="00D57579">
        <w:rPr>
          <w:sz w:val="22"/>
        </w:rPr>
        <w:t>dalāmība</w:t>
      </w:r>
      <w:r w:rsidR="00FE7849" w:rsidRPr="00D57579">
        <w:rPr>
          <w:sz w:val="22"/>
        </w:rPr>
        <w:t xml:space="preserve"> - </w:t>
      </w:r>
      <w:r w:rsidRPr="00D57579">
        <w:rPr>
          <w:sz w:val="22"/>
        </w:rPr>
        <w:t xml:space="preserve"> </w:t>
      </w:r>
      <w:r w:rsidR="00FE7849" w:rsidRPr="00D57579">
        <w:rPr>
          <w:sz w:val="22"/>
        </w:rPr>
        <w:t xml:space="preserve">regulēšanas </w:t>
      </w:r>
      <w:r w:rsidR="006B4BE3">
        <w:rPr>
          <w:sz w:val="22"/>
        </w:rPr>
        <w:t xml:space="preserve">produkta </w:t>
      </w:r>
      <w:r w:rsidR="00FE7849" w:rsidRPr="00D57579">
        <w:rPr>
          <w:sz w:val="22"/>
        </w:rPr>
        <w:t>solījuma parametrs, ka</w:t>
      </w:r>
      <w:r w:rsidR="003F5CAF">
        <w:rPr>
          <w:sz w:val="22"/>
        </w:rPr>
        <w:t>s</w:t>
      </w:r>
      <w:r w:rsidR="00FE7849" w:rsidRPr="00D57579">
        <w:rPr>
          <w:sz w:val="22"/>
        </w:rPr>
        <w:t xml:space="preserve"> </w:t>
      </w:r>
      <w:r w:rsidRPr="00D57579">
        <w:rPr>
          <w:sz w:val="22"/>
        </w:rPr>
        <w:t xml:space="preserve">nozīmē, ka PSO var no </w:t>
      </w:r>
      <w:r w:rsidR="00FE7849" w:rsidRPr="00D57579">
        <w:rPr>
          <w:sz w:val="22"/>
        </w:rPr>
        <w:t>RPS</w:t>
      </w:r>
      <w:r w:rsidRPr="00D57579">
        <w:rPr>
          <w:sz w:val="22"/>
        </w:rPr>
        <w:t xml:space="preserve"> piedāvātajiem </w:t>
      </w:r>
      <w:r w:rsidR="00FE7849" w:rsidRPr="00D57579">
        <w:rPr>
          <w:sz w:val="22"/>
        </w:rPr>
        <w:t xml:space="preserve">regulēšanas </w:t>
      </w:r>
      <w:r w:rsidR="006B4BE3">
        <w:rPr>
          <w:sz w:val="22"/>
        </w:rPr>
        <w:t>produkta</w:t>
      </w:r>
      <w:r w:rsidR="006B4BE3" w:rsidRPr="00D57579">
        <w:rPr>
          <w:sz w:val="22"/>
        </w:rPr>
        <w:t xml:space="preserve"> </w:t>
      </w:r>
      <w:r w:rsidRPr="00D57579">
        <w:rPr>
          <w:sz w:val="22"/>
        </w:rPr>
        <w:t xml:space="preserve">solījumiem izmantot tikai daļu — jaudas </w:t>
      </w:r>
      <w:r w:rsidR="007807D6">
        <w:rPr>
          <w:sz w:val="22"/>
        </w:rPr>
        <w:t>apjoma</w:t>
      </w:r>
      <w:r w:rsidRPr="00D57579">
        <w:rPr>
          <w:sz w:val="22"/>
        </w:rPr>
        <w:t xml:space="preserve"> vai ilguma ziņā;</w:t>
      </w:r>
    </w:p>
    <w:p w14:paraId="68F0DDB8" w14:textId="174E1CCB" w:rsidR="00AB4A7F" w:rsidRDefault="00FE7849" w:rsidP="00D57579">
      <w:pPr>
        <w:pStyle w:val="ListParagraph"/>
        <w:numPr>
          <w:ilvl w:val="2"/>
          <w:numId w:val="7"/>
        </w:numPr>
        <w:spacing w:after="180"/>
        <w:ind w:left="1560" w:hanging="851"/>
        <w:jc w:val="both"/>
        <w:rPr>
          <w:sz w:val="22"/>
        </w:rPr>
      </w:pPr>
      <w:r w:rsidRPr="00D57579">
        <w:rPr>
          <w:rFonts w:eastAsia="Times New Roman"/>
          <w:bCs/>
          <w:sz w:val="22"/>
        </w:rPr>
        <w:t>Baltijas kopējā izdevīguma secības sarakst</w:t>
      </w:r>
      <w:r w:rsidR="00F53F70" w:rsidRPr="00D57579">
        <w:rPr>
          <w:rFonts w:eastAsia="Times New Roman"/>
          <w:bCs/>
          <w:sz w:val="22"/>
        </w:rPr>
        <w:t>i</w:t>
      </w:r>
      <w:r w:rsidRPr="00D57579">
        <w:rPr>
          <w:rFonts w:eastAsia="Times New Roman"/>
          <w:bCs/>
          <w:sz w:val="22"/>
        </w:rPr>
        <w:t xml:space="preserve"> - </w:t>
      </w:r>
      <w:r w:rsidR="00F53F70" w:rsidRPr="00D57579">
        <w:rPr>
          <w:sz w:val="22"/>
        </w:rPr>
        <w:t>saraksti</w:t>
      </w:r>
      <w:r w:rsidR="00AB4A7F" w:rsidRPr="00D57579">
        <w:rPr>
          <w:sz w:val="22"/>
        </w:rPr>
        <w:t>, kur</w:t>
      </w:r>
      <w:r w:rsidR="006B4BE3">
        <w:rPr>
          <w:sz w:val="22"/>
        </w:rPr>
        <w:t>os</w:t>
      </w:r>
      <w:r w:rsidR="00AB4A7F" w:rsidRPr="00D57579">
        <w:rPr>
          <w:sz w:val="22"/>
        </w:rPr>
        <w:t xml:space="preserve"> pēc solījuma cenas sarindoti </w:t>
      </w:r>
      <w:r w:rsidRPr="00D57579">
        <w:rPr>
          <w:sz w:val="22"/>
        </w:rPr>
        <w:t xml:space="preserve">regulēšanas </w:t>
      </w:r>
      <w:r w:rsidR="00AB4A7F" w:rsidRPr="00D57579">
        <w:rPr>
          <w:sz w:val="22"/>
        </w:rPr>
        <w:t>solījumi un kuru</w:t>
      </w:r>
      <w:r w:rsidR="00D51430">
        <w:rPr>
          <w:sz w:val="22"/>
        </w:rPr>
        <w:t>s</w:t>
      </w:r>
      <w:r w:rsidR="00AB4A7F" w:rsidRPr="00D57579">
        <w:rPr>
          <w:sz w:val="22"/>
        </w:rPr>
        <w:t xml:space="preserve"> izmanto šo solījumu ak</w:t>
      </w:r>
      <w:r w:rsidR="00A4543F" w:rsidRPr="00D57579">
        <w:rPr>
          <w:sz w:val="22"/>
        </w:rPr>
        <w:t>tivizācijai.</w:t>
      </w:r>
    </w:p>
    <w:p w14:paraId="0539BBD8" w14:textId="442B4E92" w:rsidR="00C15675" w:rsidRPr="00D57579" w:rsidRDefault="00C15675" w:rsidP="00C15675">
      <w:pPr>
        <w:pStyle w:val="ListParagraph"/>
        <w:numPr>
          <w:ilvl w:val="1"/>
          <w:numId w:val="7"/>
        </w:numPr>
        <w:tabs>
          <w:tab w:val="left" w:pos="1418"/>
        </w:tabs>
        <w:spacing w:after="180"/>
        <w:ind w:left="709" w:hanging="709"/>
        <w:jc w:val="both"/>
        <w:rPr>
          <w:sz w:val="22"/>
        </w:rPr>
      </w:pPr>
      <w:r>
        <w:rPr>
          <w:sz w:val="22"/>
        </w:rPr>
        <w:t>Šajos Noteikumos lietoti</w:t>
      </w:r>
      <w:r w:rsidR="003954AA">
        <w:rPr>
          <w:sz w:val="22"/>
        </w:rPr>
        <w:t>e</w:t>
      </w:r>
      <w:r>
        <w:rPr>
          <w:sz w:val="22"/>
        </w:rPr>
        <w:t xml:space="preserve"> termini</w:t>
      </w:r>
      <w:r w:rsidR="003954AA">
        <w:rPr>
          <w:sz w:val="22"/>
        </w:rPr>
        <w:t>, kas nav izskaidroti šajos Noteikumos, lietoti</w:t>
      </w:r>
      <w:r>
        <w:rPr>
          <w:sz w:val="22"/>
        </w:rPr>
        <w:t xml:space="preserve"> tādā nozīmē, kādi tie</w:t>
      </w:r>
      <w:r w:rsidR="003954AA">
        <w:rPr>
          <w:sz w:val="22"/>
        </w:rPr>
        <w:t xml:space="preserve"> ir</w:t>
      </w:r>
      <w:r>
        <w:rPr>
          <w:sz w:val="22"/>
        </w:rPr>
        <w:t xml:space="preserve"> lietoti Tirgus noteikumos un Komisijas 2017. gada 23.novembra Regulā (ES) 2017/2195 </w:t>
      </w:r>
      <w:r w:rsidRPr="00C15675">
        <w:rPr>
          <w:sz w:val="22"/>
        </w:rPr>
        <w:t>ar ko izveido elektroenerģijas balansēšanas vadlīnijas</w:t>
      </w:r>
      <w:r>
        <w:rPr>
          <w:sz w:val="22"/>
        </w:rPr>
        <w:t>.</w:t>
      </w:r>
    </w:p>
    <w:p w14:paraId="3E0269C8" w14:textId="1FFAC946" w:rsidR="00D57579" w:rsidRDefault="00003141" w:rsidP="00D57579">
      <w:pPr>
        <w:pStyle w:val="ListParagraph"/>
        <w:numPr>
          <w:ilvl w:val="1"/>
          <w:numId w:val="7"/>
        </w:numPr>
        <w:tabs>
          <w:tab w:val="left" w:pos="1418"/>
        </w:tabs>
        <w:spacing w:after="180"/>
        <w:ind w:left="709" w:hanging="709"/>
        <w:jc w:val="both"/>
        <w:rPr>
          <w:sz w:val="22"/>
        </w:rPr>
      </w:pPr>
      <w:r w:rsidRPr="00A4543F">
        <w:rPr>
          <w:sz w:val="22"/>
        </w:rPr>
        <w:t>Šaj</w:t>
      </w:r>
      <w:r w:rsidR="00FE7849">
        <w:rPr>
          <w:sz w:val="22"/>
        </w:rPr>
        <w:t>os</w:t>
      </w:r>
      <w:r w:rsidRPr="00A4543F">
        <w:rPr>
          <w:sz w:val="22"/>
        </w:rPr>
        <w:t xml:space="preserve"> </w:t>
      </w:r>
      <w:r w:rsidR="00FE7849">
        <w:rPr>
          <w:sz w:val="22"/>
        </w:rPr>
        <w:t>Noteikumos</w:t>
      </w:r>
      <w:r w:rsidR="00FE7849" w:rsidRPr="00A4543F">
        <w:rPr>
          <w:sz w:val="22"/>
        </w:rPr>
        <w:t xml:space="preserve"> </w:t>
      </w:r>
      <w:r w:rsidRPr="00A4543F">
        <w:rPr>
          <w:sz w:val="22"/>
        </w:rPr>
        <w:t>minētie termiņi, kas izteikti darba dienās nosakāmi, ņemot vērā Latvijā noteiktās svētku dienas.</w:t>
      </w:r>
    </w:p>
    <w:p w14:paraId="74FAB76F" w14:textId="1FCED703" w:rsidR="00D57579" w:rsidRDefault="00966FF5" w:rsidP="00D57579">
      <w:pPr>
        <w:pStyle w:val="ListParagraph"/>
        <w:numPr>
          <w:ilvl w:val="1"/>
          <w:numId w:val="7"/>
        </w:numPr>
        <w:tabs>
          <w:tab w:val="left" w:pos="1418"/>
        </w:tabs>
        <w:spacing w:after="180"/>
        <w:ind w:left="709" w:hanging="709"/>
        <w:jc w:val="both"/>
        <w:rPr>
          <w:sz w:val="22"/>
        </w:rPr>
      </w:pPr>
      <w:r w:rsidRPr="00D57579">
        <w:rPr>
          <w:sz w:val="22"/>
        </w:rPr>
        <w:t xml:space="preserve">RPS ir tiesības </w:t>
      </w:r>
      <w:r w:rsidR="007B257C">
        <w:rPr>
          <w:sz w:val="22"/>
        </w:rPr>
        <w:t>piegādāt</w:t>
      </w:r>
      <w:r w:rsidR="007B257C" w:rsidRPr="00D57579">
        <w:rPr>
          <w:sz w:val="22"/>
        </w:rPr>
        <w:t xml:space="preserve"> </w:t>
      </w:r>
      <w:r w:rsidRPr="00D57579">
        <w:rPr>
          <w:sz w:val="22"/>
        </w:rPr>
        <w:t xml:space="preserve">PSO </w:t>
      </w:r>
      <w:r w:rsidR="00FE7849" w:rsidRPr="00D57579">
        <w:rPr>
          <w:sz w:val="22"/>
        </w:rPr>
        <w:t xml:space="preserve">regulēšanas </w:t>
      </w:r>
      <w:r w:rsidR="006E1122" w:rsidRPr="00D57579">
        <w:rPr>
          <w:sz w:val="22"/>
        </w:rPr>
        <w:t>produktu</w:t>
      </w:r>
      <w:r w:rsidR="00835227" w:rsidRPr="00D57579">
        <w:rPr>
          <w:sz w:val="22"/>
        </w:rPr>
        <w:t xml:space="preserve"> augšupvērstajai aktivizēšanai un </w:t>
      </w:r>
      <w:r w:rsidR="007B257C">
        <w:rPr>
          <w:sz w:val="22"/>
        </w:rPr>
        <w:t>piegādāt</w:t>
      </w:r>
      <w:r w:rsidR="007B257C" w:rsidRPr="00D57579">
        <w:rPr>
          <w:sz w:val="22"/>
        </w:rPr>
        <w:t xml:space="preserve"> </w:t>
      </w:r>
      <w:r w:rsidR="00835227" w:rsidRPr="00D57579">
        <w:rPr>
          <w:sz w:val="22"/>
        </w:rPr>
        <w:t xml:space="preserve">PSO </w:t>
      </w:r>
      <w:r w:rsidR="00FE7849" w:rsidRPr="00D57579">
        <w:rPr>
          <w:sz w:val="22"/>
        </w:rPr>
        <w:t>regulēšanas</w:t>
      </w:r>
      <w:r w:rsidR="00835227" w:rsidRPr="00D57579">
        <w:rPr>
          <w:sz w:val="22"/>
        </w:rPr>
        <w:t xml:space="preserve"> produktu lejupvērstajai aktivizēšanai</w:t>
      </w:r>
      <w:r w:rsidRPr="00D57579">
        <w:rPr>
          <w:sz w:val="22"/>
        </w:rPr>
        <w:t xml:space="preserve">. </w:t>
      </w:r>
      <w:r w:rsidR="0021115A" w:rsidRPr="00D57579">
        <w:rPr>
          <w:sz w:val="22"/>
        </w:rPr>
        <w:t xml:space="preserve">PSO nosaka regulēšanas produktu prasības un to iesniegšanas kārtību saskaņā ar </w:t>
      </w:r>
      <w:r w:rsidR="00621F65" w:rsidRPr="00D57579">
        <w:rPr>
          <w:sz w:val="22"/>
        </w:rPr>
        <w:t>Tirgus noteikumiem</w:t>
      </w:r>
      <w:r w:rsidR="0021115A" w:rsidRPr="00D51430">
        <w:rPr>
          <w:sz w:val="22"/>
        </w:rPr>
        <w:t>.</w:t>
      </w:r>
    </w:p>
    <w:p w14:paraId="2619CAAA" w14:textId="4728D1AC" w:rsidR="00D57579" w:rsidRDefault="006E1122" w:rsidP="00D57579">
      <w:pPr>
        <w:pStyle w:val="ListParagraph"/>
        <w:numPr>
          <w:ilvl w:val="1"/>
          <w:numId w:val="7"/>
        </w:numPr>
        <w:tabs>
          <w:tab w:val="left" w:pos="1418"/>
        </w:tabs>
        <w:spacing w:after="180"/>
        <w:ind w:left="709" w:hanging="709"/>
        <w:jc w:val="both"/>
        <w:rPr>
          <w:sz w:val="22"/>
        </w:rPr>
      </w:pPr>
      <w:r w:rsidRPr="00D57579">
        <w:rPr>
          <w:sz w:val="22"/>
        </w:rPr>
        <w:t xml:space="preserve">RPS regulēšanas produktiem jāatbilst </w:t>
      </w:r>
      <w:r w:rsidR="00621F65" w:rsidRPr="00D57579">
        <w:rPr>
          <w:sz w:val="22"/>
        </w:rPr>
        <w:t xml:space="preserve">šo </w:t>
      </w:r>
      <w:r w:rsidR="00D57579">
        <w:rPr>
          <w:sz w:val="22"/>
        </w:rPr>
        <w:t>N</w:t>
      </w:r>
      <w:r w:rsidR="00621F65" w:rsidRPr="00D57579">
        <w:rPr>
          <w:sz w:val="22"/>
        </w:rPr>
        <w:t xml:space="preserve">oteikumu </w:t>
      </w:r>
      <w:r w:rsidR="00C15675">
        <w:rPr>
          <w:sz w:val="22"/>
        </w:rPr>
        <w:t>1. </w:t>
      </w:r>
      <w:r w:rsidR="00621F65" w:rsidRPr="00D57579">
        <w:rPr>
          <w:sz w:val="22"/>
        </w:rPr>
        <w:t>pielikumā</w:t>
      </w:r>
      <w:r w:rsidRPr="00D57579">
        <w:rPr>
          <w:sz w:val="22"/>
        </w:rPr>
        <w:t xml:space="preserve"> iekļautajai produktu specifikācijai.</w:t>
      </w:r>
    </w:p>
    <w:p w14:paraId="2F85FCA6" w14:textId="2A9CE43C" w:rsidR="00966FF5" w:rsidRPr="00D57579" w:rsidRDefault="006E1122" w:rsidP="00D57579">
      <w:pPr>
        <w:pStyle w:val="ListParagraph"/>
        <w:numPr>
          <w:ilvl w:val="1"/>
          <w:numId w:val="7"/>
        </w:numPr>
        <w:tabs>
          <w:tab w:val="left" w:pos="1418"/>
        </w:tabs>
        <w:spacing w:after="180"/>
        <w:ind w:left="709" w:hanging="709"/>
        <w:jc w:val="both"/>
        <w:rPr>
          <w:sz w:val="22"/>
        </w:rPr>
      </w:pPr>
      <w:r w:rsidRPr="00D57579">
        <w:rPr>
          <w:sz w:val="22"/>
        </w:rPr>
        <w:t>PSO saņemtos</w:t>
      </w:r>
      <w:r w:rsidR="00D51430">
        <w:rPr>
          <w:sz w:val="22"/>
        </w:rPr>
        <w:t>,</w:t>
      </w:r>
      <w:r w:rsidRPr="00D57579">
        <w:rPr>
          <w:sz w:val="22"/>
        </w:rPr>
        <w:t xml:space="preserve"> </w:t>
      </w:r>
      <w:r w:rsidR="00D51430">
        <w:rPr>
          <w:sz w:val="22"/>
        </w:rPr>
        <w:t xml:space="preserve">šo Noteikumu un Tirgus noteikumu </w:t>
      </w:r>
      <w:r w:rsidRPr="00D57579">
        <w:rPr>
          <w:sz w:val="22"/>
        </w:rPr>
        <w:t xml:space="preserve">prasībām atbilstošos RPS iesniegtos regulēšanas produktu solījumus iekļauj Baltijas </w:t>
      </w:r>
      <w:r w:rsidR="00DE7217" w:rsidRPr="00D57579">
        <w:rPr>
          <w:sz w:val="22"/>
        </w:rPr>
        <w:t xml:space="preserve">kopējā izdevīguma secības </w:t>
      </w:r>
      <w:r w:rsidRPr="00D57579">
        <w:rPr>
          <w:sz w:val="22"/>
        </w:rPr>
        <w:t xml:space="preserve">sarakstos. </w:t>
      </w:r>
    </w:p>
    <w:p w14:paraId="29C76D32" w14:textId="77777777" w:rsidR="009A36EC" w:rsidRPr="00A4543F" w:rsidRDefault="009A36EC" w:rsidP="009A36EC">
      <w:pPr>
        <w:pStyle w:val="ListParagraph"/>
        <w:keepNext/>
        <w:keepLines/>
        <w:spacing w:after="0" w:line="240" w:lineRule="auto"/>
        <w:contextualSpacing w:val="0"/>
        <w:rPr>
          <w:b/>
          <w:bCs/>
          <w:caps/>
          <w:sz w:val="22"/>
        </w:rPr>
      </w:pPr>
    </w:p>
    <w:p w14:paraId="78F5C7CC" w14:textId="00BEE0C7" w:rsidR="00CC7470" w:rsidRPr="007B590D" w:rsidRDefault="0021115A" w:rsidP="007B590D">
      <w:pPr>
        <w:pStyle w:val="ListParagraph"/>
        <w:keepNext/>
        <w:keepLines/>
        <w:numPr>
          <w:ilvl w:val="0"/>
          <w:numId w:val="7"/>
        </w:numPr>
        <w:spacing w:after="0" w:line="240" w:lineRule="auto"/>
        <w:ind w:left="567" w:hanging="567"/>
        <w:contextualSpacing w:val="0"/>
        <w:jc w:val="center"/>
        <w:rPr>
          <w:b/>
          <w:bCs/>
          <w:caps/>
          <w:sz w:val="22"/>
        </w:rPr>
      </w:pPr>
      <w:r w:rsidRPr="00A4543F">
        <w:rPr>
          <w:b/>
          <w:bCs/>
          <w:caps/>
          <w:sz w:val="22"/>
        </w:rPr>
        <w:t>Regulēšanas produktu solījumu iesniegšana</w:t>
      </w:r>
    </w:p>
    <w:p w14:paraId="1A5005B5" w14:textId="4D331AF4" w:rsidR="00835227" w:rsidRPr="00A4543F" w:rsidRDefault="00835227" w:rsidP="00D57579">
      <w:pPr>
        <w:pStyle w:val="Caption"/>
        <w:numPr>
          <w:ilvl w:val="1"/>
          <w:numId w:val="7"/>
        </w:numPr>
        <w:spacing w:before="0" w:after="180"/>
        <w:ind w:left="709" w:hanging="709"/>
        <w:rPr>
          <w:rFonts w:ascii="Times New Roman" w:hAnsi="Times New Roman" w:cs="Times New Roman"/>
          <w:sz w:val="22"/>
          <w:szCs w:val="22"/>
          <w:lang w:val="lv-LV"/>
        </w:rPr>
      </w:pPr>
      <w:r w:rsidRPr="00A4543F">
        <w:rPr>
          <w:rFonts w:ascii="Times New Roman" w:hAnsi="Times New Roman" w:cs="Times New Roman"/>
          <w:sz w:val="22"/>
          <w:szCs w:val="22"/>
          <w:lang w:val="lv-LV"/>
        </w:rPr>
        <w:t>RPS</w:t>
      </w:r>
      <w:r w:rsidR="00765DFF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iesniedz </w:t>
      </w:r>
      <w:r w:rsidR="00E5744D">
        <w:rPr>
          <w:rFonts w:ascii="Times New Roman" w:hAnsi="Times New Roman" w:cs="Times New Roman"/>
          <w:sz w:val="22"/>
          <w:szCs w:val="22"/>
          <w:lang w:val="lv-LV"/>
        </w:rPr>
        <w:t>regulēšanas produkt</w:t>
      </w:r>
      <w:r w:rsidR="006B4BE3">
        <w:rPr>
          <w:rFonts w:ascii="Times New Roman" w:hAnsi="Times New Roman" w:cs="Times New Roman"/>
          <w:sz w:val="22"/>
          <w:szCs w:val="22"/>
          <w:lang w:val="lv-LV"/>
        </w:rPr>
        <w:t>a</w:t>
      </w:r>
      <w:r w:rsidR="00E5744D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sol</w:t>
      </w:r>
      <w:r w:rsidR="00765DFF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ījumus un </w:t>
      </w:r>
      <w:r w:rsidR="00E5744D">
        <w:rPr>
          <w:rFonts w:ascii="Times New Roman" w:hAnsi="Times New Roman" w:cs="Times New Roman"/>
          <w:sz w:val="22"/>
          <w:szCs w:val="22"/>
          <w:lang w:val="lv-LV"/>
        </w:rPr>
        <w:t>t</w:t>
      </w:r>
      <w:r w:rsidR="006B4BE3">
        <w:rPr>
          <w:rFonts w:ascii="Times New Roman" w:hAnsi="Times New Roman" w:cs="Times New Roman"/>
          <w:sz w:val="22"/>
          <w:szCs w:val="22"/>
          <w:lang w:val="lv-LV"/>
        </w:rPr>
        <w:t>ā</w:t>
      </w:r>
      <w:r w:rsidR="00E5744D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765DFF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labojumus saskaņā ar šo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Noteikumu </w:t>
      </w:r>
      <w:r w:rsidR="00A4543F" w:rsidRPr="00A4543F">
        <w:rPr>
          <w:rFonts w:ascii="Times New Roman" w:hAnsi="Times New Roman" w:cs="Times New Roman"/>
          <w:sz w:val="22"/>
          <w:szCs w:val="22"/>
          <w:lang w:val="lv-LV"/>
        </w:rPr>
        <w:t>2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. pielikumā </w:t>
      </w:r>
      <w:r w:rsidR="00765DFF" w:rsidRPr="00A4543F">
        <w:rPr>
          <w:rFonts w:ascii="Times New Roman" w:hAnsi="Times New Roman" w:cs="Times New Roman"/>
          <w:sz w:val="22"/>
          <w:szCs w:val="22"/>
          <w:lang w:val="lv-LV"/>
        </w:rPr>
        <w:t>iekļauto formu.</w:t>
      </w:r>
    </w:p>
    <w:p w14:paraId="1950D61C" w14:textId="3C9DE94B" w:rsidR="00621F65" w:rsidRPr="00A4543F" w:rsidRDefault="00765DFF" w:rsidP="00D57579">
      <w:pPr>
        <w:pStyle w:val="Caption"/>
        <w:numPr>
          <w:ilvl w:val="1"/>
          <w:numId w:val="7"/>
        </w:numPr>
        <w:spacing w:before="0" w:after="180"/>
        <w:ind w:left="709" w:hanging="709"/>
        <w:rPr>
          <w:rFonts w:ascii="Times New Roman" w:hAnsi="Times New Roman" w:cs="Times New Roman"/>
          <w:sz w:val="22"/>
          <w:szCs w:val="22"/>
          <w:lang w:val="lv-LV"/>
        </w:rPr>
      </w:pP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RPS iesniedz </w:t>
      </w:r>
      <w:r w:rsidR="00E5744D">
        <w:rPr>
          <w:rFonts w:ascii="Times New Roman" w:hAnsi="Times New Roman" w:cs="Times New Roman"/>
          <w:sz w:val="22"/>
          <w:szCs w:val="22"/>
          <w:lang w:val="lv-LV"/>
        </w:rPr>
        <w:t>regulēšanas produkt</w:t>
      </w:r>
      <w:r w:rsidR="006B4BE3">
        <w:rPr>
          <w:rFonts w:ascii="Times New Roman" w:hAnsi="Times New Roman" w:cs="Times New Roman"/>
          <w:sz w:val="22"/>
          <w:szCs w:val="22"/>
          <w:lang w:val="lv-LV"/>
        </w:rPr>
        <w:t>a</w:t>
      </w:r>
      <w:r w:rsidR="00E5744D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solījumus nākamajai dienai līdz tekošās dienas 16:00 </w:t>
      </w:r>
      <w:r w:rsidR="0077094A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pēc Austrumeiropas laika (turpmāk –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EET</w:t>
      </w:r>
      <w:r w:rsidR="0077094A" w:rsidRPr="00A4543F">
        <w:rPr>
          <w:rFonts w:ascii="Times New Roman" w:hAnsi="Times New Roman" w:cs="Times New Roman"/>
          <w:sz w:val="22"/>
          <w:szCs w:val="22"/>
          <w:lang w:val="lv-LV"/>
        </w:rPr>
        <w:t>)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. </w:t>
      </w:r>
    </w:p>
    <w:p w14:paraId="370B156D" w14:textId="5C5417E0" w:rsidR="00995CAE" w:rsidRPr="00A4543F" w:rsidRDefault="00765DFF" w:rsidP="00D57579">
      <w:pPr>
        <w:pStyle w:val="Caption"/>
        <w:numPr>
          <w:ilvl w:val="1"/>
          <w:numId w:val="7"/>
        </w:numPr>
        <w:spacing w:before="0" w:after="180"/>
        <w:ind w:left="709" w:hanging="709"/>
        <w:rPr>
          <w:rFonts w:ascii="Times New Roman" w:hAnsi="Times New Roman" w:cs="Times New Roman"/>
          <w:sz w:val="22"/>
          <w:szCs w:val="22"/>
          <w:lang w:val="lv-LV"/>
        </w:rPr>
      </w:pP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RPS var sniegt </w:t>
      </w:r>
      <w:r w:rsidR="00E5744D">
        <w:rPr>
          <w:rFonts w:ascii="Times New Roman" w:hAnsi="Times New Roman" w:cs="Times New Roman"/>
          <w:sz w:val="22"/>
          <w:szCs w:val="22"/>
          <w:lang w:val="lv-LV"/>
        </w:rPr>
        <w:t>regulēšanas produkt</w:t>
      </w:r>
      <w:r w:rsidR="006B4BE3">
        <w:rPr>
          <w:rFonts w:ascii="Times New Roman" w:hAnsi="Times New Roman" w:cs="Times New Roman"/>
          <w:sz w:val="22"/>
          <w:szCs w:val="22"/>
          <w:lang w:val="lv-LV"/>
        </w:rPr>
        <w:t>a</w:t>
      </w:r>
      <w:r w:rsidR="00E5744D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solījumu labojumus </w:t>
      </w:r>
      <w:r w:rsidR="00621F65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ne vēlāk kā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45 minūtes pirms </w:t>
      </w:r>
      <w:r w:rsidR="006B4BE3">
        <w:rPr>
          <w:rFonts w:ascii="Times New Roman" w:hAnsi="Times New Roman" w:cs="Times New Roman"/>
          <w:sz w:val="22"/>
          <w:szCs w:val="22"/>
          <w:lang w:val="lv-LV"/>
        </w:rPr>
        <w:t xml:space="preserve">regulēšanas produkta solījumam atbilstošā </w:t>
      </w:r>
      <w:r w:rsidR="008E5D1B" w:rsidRPr="00A4543F">
        <w:rPr>
          <w:rFonts w:ascii="Times New Roman" w:hAnsi="Times New Roman" w:cs="Times New Roman"/>
          <w:sz w:val="22"/>
          <w:szCs w:val="22"/>
          <w:lang w:val="lv-LV"/>
        </w:rPr>
        <w:t>tirdzniecības intervāla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.</w:t>
      </w:r>
      <w:r w:rsidR="00621F65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Pēc šī termiņa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RPS iesniegtie </w:t>
      </w:r>
      <w:r w:rsidR="006B4BE3">
        <w:rPr>
          <w:rFonts w:ascii="Times New Roman" w:hAnsi="Times New Roman" w:cs="Times New Roman"/>
          <w:sz w:val="22"/>
          <w:szCs w:val="22"/>
          <w:lang w:val="lv-LV"/>
        </w:rPr>
        <w:t xml:space="preserve">regulēšanas produkta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solījumi kļūst neatsaucami un tos vairs nevar labot.</w:t>
      </w:r>
    </w:p>
    <w:p w14:paraId="7F8CA008" w14:textId="6F7A413D" w:rsidR="00995CAE" w:rsidRPr="00A4543F" w:rsidRDefault="00995CAE" w:rsidP="00D57579">
      <w:pPr>
        <w:pStyle w:val="Caption"/>
        <w:numPr>
          <w:ilvl w:val="1"/>
          <w:numId w:val="7"/>
        </w:numPr>
        <w:spacing w:before="0" w:after="180"/>
        <w:ind w:left="709" w:hanging="709"/>
        <w:contextualSpacing/>
        <w:rPr>
          <w:rFonts w:ascii="Times New Roman" w:hAnsi="Times New Roman" w:cs="Times New Roman"/>
          <w:sz w:val="22"/>
          <w:szCs w:val="22"/>
          <w:lang w:val="lv-LV"/>
        </w:rPr>
      </w:pPr>
      <w:r w:rsidRPr="00A4543F">
        <w:rPr>
          <w:rFonts w:ascii="Times New Roman" w:hAnsi="Times New Roman" w:cs="Times New Roman"/>
          <w:sz w:val="22"/>
          <w:szCs w:val="22"/>
          <w:lang w:val="lv-LV"/>
        </w:rPr>
        <w:t>PSO izvērtē RPS iesniegto</w:t>
      </w:r>
      <w:r w:rsidR="006B4BE3">
        <w:rPr>
          <w:rFonts w:ascii="Times New Roman" w:hAnsi="Times New Roman" w:cs="Times New Roman"/>
          <w:sz w:val="22"/>
          <w:szCs w:val="22"/>
          <w:lang w:val="lv-LV"/>
        </w:rPr>
        <w:t xml:space="preserve"> regulēšanas produkta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solījumu atbilstību </w:t>
      </w:r>
      <w:r w:rsidR="00D57579">
        <w:rPr>
          <w:rFonts w:ascii="Times New Roman" w:hAnsi="Times New Roman" w:cs="Times New Roman"/>
          <w:sz w:val="22"/>
          <w:szCs w:val="22"/>
          <w:lang w:val="lv-LV"/>
        </w:rPr>
        <w:t>Tirgus noteikumiem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:</w:t>
      </w:r>
    </w:p>
    <w:p w14:paraId="5C50997C" w14:textId="2124DAAC" w:rsidR="00995CAE" w:rsidRPr="00A4543F" w:rsidRDefault="00995CAE" w:rsidP="00D57579">
      <w:pPr>
        <w:pStyle w:val="Caption"/>
        <w:numPr>
          <w:ilvl w:val="2"/>
          <w:numId w:val="7"/>
        </w:numPr>
        <w:spacing w:before="0" w:after="180"/>
        <w:ind w:left="1418" w:hanging="567"/>
        <w:contextualSpacing/>
        <w:rPr>
          <w:rFonts w:ascii="Times New Roman" w:hAnsi="Times New Roman" w:cs="Times New Roman"/>
          <w:sz w:val="22"/>
          <w:szCs w:val="22"/>
          <w:lang w:val="lv-LV"/>
        </w:rPr>
      </w:pPr>
      <w:r w:rsidRPr="00A4543F">
        <w:rPr>
          <w:rFonts w:ascii="Times New Roman" w:hAnsi="Times New Roman" w:cs="Times New Roman"/>
          <w:sz w:val="22"/>
          <w:szCs w:val="22"/>
          <w:lang w:val="lv-LV"/>
        </w:rPr>
        <w:lastRenderedPageBreak/>
        <w:t xml:space="preserve">ja RPS iesniegtais </w:t>
      </w:r>
      <w:r w:rsidR="006B4BE3">
        <w:rPr>
          <w:rFonts w:ascii="Times New Roman" w:hAnsi="Times New Roman" w:cs="Times New Roman"/>
          <w:sz w:val="22"/>
          <w:szCs w:val="22"/>
          <w:lang w:val="lv-LV"/>
        </w:rPr>
        <w:t>regulēšanas produkta</w:t>
      </w:r>
      <w:r w:rsidR="006B4BE3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solījums atbilst </w:t>
      </w:r>
      <w:r w:rsidR="00D57579">
        <w:rPr>
          <w:rFonts w:ascii="Times New Roman" w:hAnsi="Times New Roman" w:cs="Times New Roman"/>
          <w:sz w:val="22"/>
          <w:szCs w:val="22"/>
          <w:lang w:val="lv-LV"/>
        </w:rPr>
        <w:t>Tirgus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noteikumiem, PSO nosūta RPS iesniegto </w:t>
      </w:r>
      <w:r w:rsidR="006B4BE3">
        <w:rPr>
          <w:rFonts w:ascii="Times New Roman" w:hAnsi="Times New Roman" w:cs="Times New Roman"/>
          <w:sz w:val="22"/>
          <w:szCs w:val="22"/>
          <w:lang w:val="lv-LV"/>
        </w:rPr>
        <w:t>regulēšanas produkta</w:t>
      </w:r>
      <w:r w:rsidR="006B4BE3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6B4BE3">
        <w:rPr>
          <w:rFonts w:ascii="Times New Roman" w:hAnsi="Times New Roman" w:cs="Times New Roman"/>
          <w:sz w:val="22"/>
          <w:szCs w:val="22"/>
          <w:lang w:val="lv-LV"/>
        </w:rPr>
        <w:t>solījumu</w:t>
      </w:r>
      <w:r w:rsidR="006B4BE3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iekļaušanai atbilstošajā Baltijas </w:t>
      </w:r>
      <w:r w:rsidR="00D51430">
        <w:rPr>
          <w:rFonts w:ascii="Times New Roman" w:hAnsi="Times New Roman" w:cs="Times New Roman"/>
          <w:sz w:val="22"/>
          <w:szCs w:val="22"/>
          <w:lang w:val="lv-LV"/>
        </w:rPr>
        <w:t>kopēja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izdevīguma </w:t>
      </w:r>
      <w:r w:rsidR="00D51430">
        <w:rPr>
          <w:rFonts w:ascii="Times New Roman" w:hAnsi="Times New Roman" w:cs="Times New Roman"/>
          <w:sz w:val="22"/>
          <w:szCs w:val="22"/>
          <w:lang w:val="lv-LV"/>
        </w:rPr>
        <w:t xml:space="preserve">secības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sarakstā;</w:t>
      </w:r>
    </w:p>
    <w:p w14:paraId="0247CB9F" w14:textId="1DE5BA59" w:rsidR="00906961" w:rsidRPr="00A4543F" w:rsidRDefault="00995CAE" w:rsidP="00D57579">
      <w:pPr>
        <w:pStyle w:val="Caption"/>
        <w:numPr>
          <w:ilvl w:val="2"/>
          <w:numId w:val="7"/>
        </w:numPr>
        <w:spacing w:before="0" w:after="180"/>
        <w:ind w:left="1418" w:hanging="567"/>
        <w:rPr>
          <w:rFonts w:ascii="Times New Roman" w:hAnsi="Times New Roman" w:cs="Times New Roman"/>
          <w:sz w:val="22"/>
          <w:szCs w:val="22"/>
          <w:lang w:val="lv-LV"/>
        </w:rPr>
      </w:pP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ja RPS iesniegtais solījums neatbilst </w:t>
      </w:r>
      <w:r w:rsidR="00D57579">
        <w:rPr>
          <w:rFonts w:ascii="Times New Roman" w:hAnsi="Times New Roman" w:cs="Times New Roman"/>
          <w:sz w:val="22"/>
          <w:szCs w:val="22"/>
          <w:lang w:val="lv-LV"/>
        </w:rPr>
        <w:t>Tirgus</w:t>
      </w:r>
      <w:r w:rsidR="00D57579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noteikumiem, PSO par to informē RPS ne vēlāk kā 15 minūtes pirms </w:t>
      </w:r>
      <w:r w:rsidR="007F244A">
        <w:rPr>
          <w:rFonts w:ascii="Times New Roman" w:hAnsi="Times New Roman" w:cs="Times New Roman"/>
          <w:sz w:val="22"/>
          <w:szCs w:val="22"/>
          <w:lang w:val="lv-LV"/>
        </w:rPr>
        <w:t>regulēšanas produkta solījumam atbilstošā</w:t>
      </w:r>
      <w:r w:rsidR="007F244A" w:rsidRPr="00A4543F" w:rsidDel="006B4BE3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tirdzniecības intervāla. Šādi solījumi netiek iekļauti atbilstošajā Baltijas </w:t>
      </w:r>
      <w:r w:rsidR="00D51430">
        <w:rPr>
          <w:rFonts w:ascii="Times New Roman" w:hAnsi="Times New Roman" w:cs="Times New Roman"/>
          <w:sz w:val="22"/>
          <w:szCs w:val="22"/>
          <w:lang w:val="lv-LV"/>
        </w:rPr>
        <w:t>kopējā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izdevīguma </w:t>
      </w:r>
      <w:r w:rsidR="00D51430">
        <w:rPr>
          <w:rFonts w:ascii="Times New Roman" w:hAnsi="Times New Roman" w:cs="Times New Roman"/>
          <w:sz w:val="22"/>
          <w:szCs w:val="22"/>
          <w:lang w:val="lv-LV"/>
        </w:rPr>
        <w:t xml:space="preserve">secības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sarakstā.</w:t>
      </w:r>
    </w:p>
    <w:p w14:paraId="47275F3A" w14:textId="29740F25" w:rsidR="00995CAE" w:rsidRPr="00A4543F" w:rsidRDefault="00995CAE" w:rsidP="00D57579">
      <w:pPr>
        <w:pStyle w:val="Caption"/>
        <w:numPr>
          <w:ilvl w:val="1"/>
          <w:numId w:val="7"/>
        </w:numPr>
        <w:spacing w:before="0" w:after="180"/>
        <w:ind w:left="709" w:hanging="709"/>
        <w:rPr>
          <w:rFonts w:ascii="Times New Roman" w:hAnsi="Times New Roman" w:cs="Times New Roman"/>
          <w:sz w:val="22"/>
          <w:szCs w:val="22"/>
          <w:lang w:val="lv-LV"/>
        </w:rPr>
      </w:pP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Ja iesniegts </w:t>
      </w:r>
      <w:r w:rsidR="007F244A">
        <w:rPr>
          <w:rFonts w:ascii="Times New Roman" w:hAnsi="Times New Roman" w:cs="Times New Roman"/>
          <w:sz w:val="22"/>
          <w:szCs w:val="22"/>
          <w:lang w:val="lv-LV"/>
        </w:rPr>
        <w:t>regulēšanas produkta</w:t>
      </w:r>
      <w:r w:rsidR="007F244A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solījums kļūst nepieejams tehnisku iemeslu dēļ</w:t>
      </w:r>
      <w:r w:rsidR="00D51430">
        <w:rPr>
          <w:rFonts w:ascii="Times New Roman" w:hAnsi="Times New Roman" w:cs="Times New Roman"/>
          <w:sz w:val="22"/>
          <w:szCs w:val="22"/>
          <w:lang w:val="lv-LV"/>
        </w:rPr>
        <w:t>,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RPS ir pienākums </w:t>
      </w:r>
      <w:r w:rsidR="00D51430">
        <w:rPr>
          <w:rFonts w:ascii="Times New Roman" w:hAnsi="Times New Roman" w:cs="Times New Roman"/>
          <w:sz w:val="22"/>
          <w:szCs w:val="22"/>
          <w:lang w:val="lv-LV"/>
        </w:rPr>
        <w:t>nekavējoties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par to informēt PSO.</w:t>
      </w:r>
    </w:p>
    <w:p w14:paraId="1723228F" w14:textId="35070360" w:rsidR="00F26352" w:rsidRPr="00A4543F" w:rsidRDefault="00F26352" w:rsidP="00D57579">
      <w:pPr>
        <w:pStyle w:val="ListParagraph"/>
        <w:keepNext/>
        <w:keepLines/>
        <w:numPr>
          <w:ilvl w:val="0"/>
          <w:numId w:val="7"/>
        </w:numPr>
        <w:spacing w:after="0" w:line="240" w:lineRule="auto"/>
        <w:contextualSpacing w:val="0"/>
        <w:jc w:val="center"/>
        <w:rPr>
          <w:b/>
          <w:bCs/>
          <w:caps/>
          <w:sz w:val="22"/>
        </w:rPr>
      </w:pPr>
      <w:r w:rsidRPr="00A4543F">
        <w:rPr>
          <w:b/>
          <w:bCs/>
          <w:caps/>
          <w:sz w:val="22"/>
        </w:rPr>
        <w:t>Regulēšanas produktu solījumu aktiv</w:t>
      </w:r>
      <w:r w:rsidR="00E97D31" w:rsidRPr="00A4543F">
        <w:rPr>
          <w:b/>
          <w:bCs/>
          <w:caps/>
          <w:sz w:val="22"/>
        </w:rPr>
        <w:t>iz</w:t>
      </w:r>
      <w:r w:rsidRPr="00A4543F">
        <w:rPr>
          <w:b/>
          <w:bCs/>
          <w:caps/>
          <w:sz w:val="22"/>
        </w:rPr>
        <w:t>ēšana</w:t>
      </w:r>
    </w:p>
    <w:p w14:paraId="41437E61" w14:textId="7F41D557" w:rsidR="00A63AF4" w:rsidRPr="00A4543F" w:rsidRDefault="00A63AF4" w:rsidP="00D57579">
      <w:pPr>
        <w:pStyle w:val="Caption"/>
        <w:numPr>
          <w:ilvl w:val="1"/>
          <w:numId w:val="7"/>
        </w:numPr>
        <w:spacing w:before="0" w:after="180"/>
        <w:ind w:left="709" w:hanging="709"/>
        <w:rPr>
          <w:rFonts w:ascii="Times New Roman" w:hAnsi="Times New Roman" w:cs="Times New Roman"/>
          <w:sz w:val="22"/>
          <w:szCs w:val="22"/>
          <w:lang w:val="lv-LV"/>
        </w:rPr>
      </w:pPr>
      <w:r w:rsidRPr="00A4543F">
        <w:rPr>
          <w:rFonts w:ascii="Times New Roman" w:hAnsi="Times New Roman" w:cs="Times New Roman"/>
          <w:sz w:val="22"/>
          <w:szCs w:val="22"/>
          <w:lang w:val="lv-LV"/>
        </w:rPr>
        <w:t>PSO ir tiesības aktivizēt</w:t>
      </w:r>
      <w:r w:rsidR="00AF2B7A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jebkuru R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P</w:t>
      </w:r>
      <w:r w:rsidR="00271415">
        <w:rPr>
          <w:rFonts w:ascii="Times New Roman" w:hAnsi="Times New Roman" w:cs="Times New Roman"/>
          <w:sz w:val="22"/>
          <w:szCs w:val="22"/>
          <w:lang w:val="lv-LV"/>
        </w:rPr>
        <w:t>S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iesniegto regulēšanas produktu solījumu saskaņā ar solījumā norādītajiem nosacījumiem</w:t>
      </w:r>
      <w:r w:rsidR="00E8647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tikai tādiem mērķiem, kādi noteikti </w:t>
      </w:r>
      <w:r w:rsidR="00906961" w:rsidRPr="00A4543F">
        <w:rPr>
          <w:rFonts w:ascii="Times New Roman" w:hAnsi="Times New Roman" w:cs="Times New Roman"/>
          <w:sz w:val="22"/>
          <w:szCs w:val="22"/>
          <w:lang w:val="lv-LV"/>
        </w:rPr>
        <w:t>Tirgus noteikumos</w:t>
      </w:r>
      <w:r w:rsidR="00E86472" w:rsidRPr="00A4543F">
        <w:rPr>
          <w:rFonts w:ascii="Times New Roman" w:hAnsi="Times New Roman" w:cs="Times New Roman"/>
          <w:sz w:val="22"/>
          <w:szCs w:val="22"/>
          <w:lang w:val="lv-LV"/>
        </w:rPr>
        <w:t>.</w:t>
      </w:r>
    </w:p>
    <w:p w14:paraId="312CBE47" w14:textId="3952A71A" w:rsidR="003D54A2" w:rsidRPr="00A4543F" w:rsidRDefault="00E86472" w:rsidP="00D57579">
      <w:pPr>
        <w:pStyle w:val="Caption"/>
        <w:numPr>
          <w:ilvl w:val="1"/>
          <w:numId w:val="7"/>
        </w:numPr>
        <w:spacing w:before="0" w:after="180"/>
        <w:ind w:left="709" w:hanging="709"/>
        <w:rPr>
          <w:rFonts w:ascii="Times New Roman" w:hAnsi="Times New Roman" w:cs="Times New Roman"/>
          <w:sz w:val="22"/>
          <w:szCs w:val="22"/>
          <w:lang w:val="lv-LV"/>
        </w:rPr>
      </w:pPr>
      <w:r w:rsidRPr="00A4543F">
        <w:rPr>
          <w:rFonts w:ascii="Times New Roman" w:hAnsi="Times New Roman" w:cs="Times New Roman"/>
          <w:sz w:val="22"/>
          <w:szCs w:val="22"/>
          <w:lang w:val="lv-LV"/>
        </w:rPr>
        <w:t>Regulēšanas</w:t>
      </w:r>
      <w:r w:rsidR="003D54A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produkta solījums var tikt izmantots tikai tam </w:t>
      </w:r>
      <w:r w:rsidR="007F244A">
        <w:rPr>
          <w:rFonts w:ascii="Times New Roman" w:hAnsi="Times New Roman" w:cs="Times New Roman"/>
          <w:sz w:val="22"/>
          <w:szCs w:val="22"/>
          <w:lang w:val="lv-LV"/>
        </w:rPr>
        <w:t>atbilstošajā</w:t>
      </w:r>
      <w:r w:rsidR="007F244A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8E5D1B" w:rsidRPr="00A4543F">
        <w:rPr>
          <w:rFonts w:ascii="Times New Roman" w:hAnsi="Times New Roman" w:cs="Times New Roman"/>
          <w:sz w:val="22"/>
          <w:szCs w:val="22"/>
          <w:lang w:val="lv-LV"/>
        </w:rPr>
        <w:t>tirdzniecības intervālā</w:t>
      </w:r>
      <w:r w:rsidR="003D54A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. Katrā nākamajā </w:t>
      </w:r>
      <w:r w:rsidR="008E5D1B" w:rsidRPr="00A4543F">
        <w:rPr>
          <w:rFonts w:ascii="Times New Roman" w:hAnsi="Times New Roman" w:cs="Times New Roman"/>
          <w:sz w:val="22"/>
          <w:szCs w:val="22"/>
          <w:lang w:val="lv-LV"/>
        </w:rPr>
        <w:t>tirdzniecības intervālā</w:t>
      </w:r>
      <w:r w:rsidR="007F244A">
        <w:rPr>
          <w:rFonts w:ascii="Times New Roman" w:hAnsi="Times New Roman" w:cs="Times New Roman"/>
          <w:sz w:val="22"/>
          <w:szCs w:val="22"/>
          <w:lang w:val="lv-LV"/>
        </w:rPr>
        <w:t xml:space="preserve"> aktivizācijas komanda jānosūta </w:t>
      </w:r>
      <w:r w:rsidR="003D54A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no jauna. </w:t>
      </w:r>
    </w:p>
    <w:p w14:paraId="7085C8A9" w14:textId="6166EC97" w:rsidR="003D54A2" w:rsidRPr="00A4543F" w:rsidRDefault="003D54A2" w:rsidP="00D57579">
      <w:pPr>
        <w:pStyle w:val="Caption"/>
        <w:numPr>
          <w:ilvl w:val="1"/>
          <w:numId w:val="7"/>
        </w:numPr>
        <w:spacing w:before="0" w:after="180"/>
        <w:ind w:left="709" w:hanging="709"/>
        <w:rPr>
          <w:rFonts w:ascii="Times New Roman" w:hAnsi="Times New Roman" w:cs="Times New Roman"/>
          <w:sz w:val="22"/>
          <w:szCs w:val="22"/>
          <w:lang w:val="lv-LV"/>
        </w:rPr>
      </w:pP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Regulēšanas produkta solījuma aktivizācija notiek pēc PSO dispečera </w:t>
      </w:r>
      <w:r w:rsidR="00E8647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dotās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aktivizācijas komandas. Dispečera </w:t>
      </w:r>
      <w:r w:rsidR="00E8647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dotās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aktivizācijas komandas RPS tiek nodotas </w:t>
      </w:r>
      <w:r w:rsidR="00E86472" w:rsidRPr="00A4543F">
        <w:rPr>
          <w:rFonts w:ascii="Times New Roman" w:hAnsi="Times New Roman" w:cs="Times New Roman"/>
          <w:sz w:val="22"/>
          <w:szCs w:val="22"/>
          <w:lang w:val="lv-LV"/>
        </w:rPr>
        <w:t>elektroniski</w:t>
      </w:r>
      <w:r w:rsidR="00D51430">
        <w:rPr>
          <w:rFonts w:ascii="Times New Roman" w:hAnsi="Times New Roman" w:cs="Times New Roman"/>
          <w:sz w:val="22"/>
          <w:szCs w:val="22"/>
          <w:lang w:val="lv-LV"/>
        </w:rPr>
        <w:t>,</w:t>
      </w:r>
      <w:r w:rsidR="00E8647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nosūtot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rīkojumu</w:t>
      </w:r>
      <w:r w:rsidR="000C0C2A">
        <w:rPr>
          <w:rFonts w:ascii="Times New Roman" w:hAnsi="Times New Roman" w:cs="Times New Roman"/>
          <w:sz w:val="22"/>
          <w:szCs w:val="22"/>
          <w:lang w:val="lv-LV"/>
        </w:rPr>
        <w:t>, izmantojot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906961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šo Noteikumu </w:t>
      </w:r>
      <w:r w:rsidR="00A4543F" w:rsidRPr="00A4543F">
        <w:rPr>
          <w:rFonts w:ascii="Times New Roman" w:hAnsi="Times New Roman" w:cs="Times New Roman"/>
          <w:sz w:val="22"/>
          <w:szCs w:val="22"/>
          <w:lang w:val="lv-LV"/>
        </w:rPr>
        <w:t>3. p</w:t>
      </w:r>
      <w:r w:rsidR="00906961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ielikumā </w:t>
      </w:r>
      <w:r w:rsidR="000C0C2A" w:rsidRPr="00A4543F">
        <w:rPr>
          <w:rFonts w:ascii="Times New Roman" w:hAnsi="Times New Roman" w:cs="Times New Roman"/>
          <w:sz w:val="22"/>
          <w:szCs w:val="22"/>
          <w:lang w:val="lv-LV"/>
        </w:rPr>
        <w:t>noteikt</w:t>
      </w:r>
      <w:r w:rsidR="000C0C2A">
        <w:rPr>
          <w:rFonts w:ascii="Times New Roman" w:hAnsi="Times New Roman" w:cs="Times New Roman"/>
          <w:sz w:val="22"/>
          <w:szCs w:val="22"/>
          <w:lang w:val="lv-LV"/>
        </w:rPr>
        <w:t>o</w:t>
      </w:r>
      <w:r w:rsidR="000C0C2A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form</w:t>
      </w:r>
      <w:r w:rsidR="000C0C2A">
        <w:rPr>
          <w:rFonts w:ascii="Times New Roman" w:hAnsi="Times New Roman" w:cs="Times New Roman"/>
          <w:sz w:val="22"/>
          <w:szCs w:val="22"/>
          <w:lang w:val="lv-LV"/>
        </w:rPr>
        <w:t>u, nepieciešamības gadījumā to papildinot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. Dispečera </w:t>
      </w:r>
      <w:r w:rsidR="00E8647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dotajā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aktivizācijas komandā jānorāda jaudas aktivizācijas sākuma laiks un jaudas apjoms. </w:t>
      </w:r>
    </w:p>
    <w:p w14:paraId="7E2AED4A" w14:textId="488D95AB" w:rsidR="003D54A2" w:rsidRPr="00A4543F" w:rsidRDefault="00CD5C15" w:rsidP="00D57579">
      <w:pPr>
        <w:pStyle w:val="Caption"/>
        <w:numPr>
          <w:ilvl w:val="1"/>
          <w:numId w:val="7"/>
        </w:numPr>
        <w:spacing w:before="0" w:after="180"/>
        <w:ind w:left="709" w:hanging="709"/>
        <w:rPr>
          <w:rFonts w:ascii="Times New Roman" w:hAnsi="Times New Roman" w:cs="Times New Roman"/>
          <w:sz w:val="22"/>
          <w:szCs w:val="22"/>
          <w:lang w:val="lv-LV"/>
        </w:rPr>
      </w:pPr>
      <w:r w:rsidRPr="00A4543F">
        <w:rPr>
          <w:rFonts w:ascii="Times New Roman" w:hAnsi="Times New Roman" w:cs="Times New Roman"/>
          <w:sz w:val="22"/>
          <w:szCs w:val="22"/>
          <w:lang w:val="lv-LV"/>
        </w:rPr>
        <w:t>Regulēšanas produkta</w:t>
      </w:r>
      <w:r w:rsidR="003D54A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7B257C">
        <w:rPr>
          <w:rFonts w:ascii="Times New Roman" w:hAnsi="Times New Roman" w:cs="Times New Roman"/>
          <w:sz w:val="22"/>
          <w:szCs w:val="22"/>
          <w:lang w:val="lv-LV"/>
        </w:rPr>
        <w:t>piegādes</w:t>
      </w:r>
      <w:r w:rsidR="007B257C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3D54A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pārtraukšana notiek pēc PSO dispečera </w:t>
      </w:r>
      <w:r w:rsidR="00E86472" w:rsidRPr="00A4543F">
        <w:rPr>
          <w:rFonts w:ascii="Times New Roman" w:hAnsi="Times New Roman" w:cs="Times New Roman"/>
          <w:sz w:val="22"/>
          <w:szCs w:val="22"/>
          <w:lang w:val="lv-LV"/>
        </w:rPr>
        <w:t>dotās de</w:t>
      </w:r>
      <w:r w:rsidR="007F244A">
        <w:rPr>
          <w:rFonts w:ascii="Times New Roman" w:hAnsi="Times New Roman" w:cs="Times New Roman"/>
          <w:sz w:val="22"/>
          <w:szCs w:val="22"/>
          <w:lang w:val="lv-LV"/>
        </w:rPr>
        <w:t>z</w:t>
      </w:r>
      <w:r w:rsidR="00E86472" w:rsidRPr="00A4543F">
        <w:rPr>
          <w:rFonts w:ascii="Times New Roman" w:hAnsi="Times New Roman" w:cs="Times New Roman"/>
          <w:sz w:val="22"/>
          <w:szCs w:val="22"/>
          <w:lang w:val="lv-LV"/>
        </w:rPr>
        <w:t>aktivizācijas</w:t>
      </w:r>
      <w:r w:rsidR="003D54A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komandas vai </w:t>
      </w:r>
      <w:r w:rsidR="008E5D1B" w:rsidRPr="00A4543F">
        <w:rPr>
          <w:rFonts w:ascii="Times New Roman" w:hAnsi="Times New Roman" w:cs="Times New Roman"/>
          <w:sz w:val="22"/>
          <w:szCs w:val="22"/>
          <w:lang w:val="lv-LV"/>
        </w:rPr>
        <w:t>tirdzniecības intervāla beigām</w:t>
      </w:r>
      <w:r w:rsidR="003D54A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. Dispečera </w:t>
      </w:r>
      <w:r w:rsidR="00E86472" w:rsidRPr="00A4543F">
        <w:rPr>
          <w:rFonts w:ascii="Times New Roman" w:hAnsi="Times New Roman" w:cs="Times New Roman"/>
          <w:sz w:val="22"/>
          <w:szCs w:val="22"/>
          <w:lang w:val="lv-LV"/>
        </w:rPr>
        <w:t>dotās de</w:t>
      </w:r>
      <w:r w:rsidR="007F244A">
        <w:rPr>
          <w:rFonts w:ascii="Times New Roman" w:hAnsi="Times New Roman" w:cs="Times New Roman"/>
          <w:sz w:val="22"/>
          <w:szCs w:val="22"/>
          <w:lang w:val="lv-LV"/>
        </w:rPr>
        <w:t>z</w:t>
      </w:r>
      <w:r w:rsidR="00E8647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aktivizācijas </w:t>
      </w:r>
      <w:r w:rsidR="003D54A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komandas </w:t>
      </w:r>
      <w:r w:rsidR="00E97D31" w:rsidRPr="00A4543F">
        <w:rPr>
          <w:rFonts w:ascii="Times New Roman" w:hAnsi="Times New Roman" w:cs="Times New Roman"/>
          <w:sz w:val="22"/>
          <w:szCs w:val="22"/>
          <w:lang w:val="lv-LV"/>
        </w:rPr>
        <w:t>RPS</w:t>
      </w:r>
      <w:r w:rsidR="003D54A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tiek nodotas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elektroniski</w:t>
      </w:r>
      <w:r w:rsidR="00D51430">
        <w:rPr>
          <w:rFonts w:ascii="Times New Roman" w:hAnsi="Times New Roman" w:cs="Times New Roman"/>
          <w:sz w:val="22"/>
          <w:szCs w:val="22"/>
          <w:lang w:val="lv-LV"/>
        </w:rPr>
        <w:t>,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nosūtot</w:t>
      </w:r>
      <w:r w:rsidR="003D54A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rīkojumu</w:t>
      </w:r>
      <w:r w:rsidR="000979A5">
        <w:rPr>
          <w:rFonts w:ascii="Times New Roman" w:hAnsi="Times New Roman" w:cs="Times New Roman"/>
          <w:sz w:val="22"/>
          <w:szCs w:val="22"/>
          <w:lang w:val="lv-LV"/>
        </w:rPr>
        <w:t>, izmantojot</w:t>
      </w:r>
      <w:r w:rsidR="003D54A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906961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šo Noteikumu </w:t>
      </w:r>
      <w:r w:rsidR="00A4543F" w:rsidRPr="00A4543F">
        <w:rPr>
          <w:rFonts w:ascii="Times New Roman" w:hAnsi="Times New Roman" w:cs="Times New Roman"/>
          <w:sz w:val="22"/>
          <w:szCs w:val="22"/>
          <w:lang w:val="lv-LV"/>
        </w:rPr>
        <w:t>3. p</w:t>
      </w:r>
      <w:r w:rsidR="00906961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ielikumā </w:t>
      </w:r>
      <w:r w:rsidR="000979A5" w:rsidRPr="00A4543F">
        <w:rPr>
          <w:rFonts w:ascii="Times New Roman" w:hAnsi="Times New Roman" w:cs="Times New Roman"/>
          <w:sz w:val="22"/>
          <w:szCs w:val="22"/>
          <w:lang w:val="lv-LV"/>
        </w:rPr>
        <w:t>noteikt</w:t>
      </w:r>
      <w:r w:rsidR="000979A5">
        <w:rPr>
          <w:rFonts w:ascii="Times New Roman" w:hAnsi="Times New Roman" w:cs="Times New Roman"/>
          <w:sz w:val="22"/>
          <w:szCs w:val="22"/>
          <w:lang w:val="lv-LV"/>
        </w:rPr>
        <w:t>o</w:t>
      </w:r>
      <w:r w:rsidR="000979A5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form</w:t>
      </w:r>
      <w:r w:rsidR="000979A5">
        <w:rPr>
          <w:rFonts w:ascii="Times New Roman" w:hAnsi="Times New Roman" w:cs="Times New Roman"/>
          <w:sz w:val="22"/>
          <w:szCs w:val="22"/>
          <w:lang w:val="lv-LV"/>
        </w:rPr>
        <w:t>u, nepieciešamības gadījumā to papildinot</w:t>
      </w:r>
      <w:r w:rsidR="003D54A2" w:rsidRPr="00A4543F">
        <w:rPr>
          <w:rFonts w:ascii="Times New Roman" w:hAnsi="Times New Roman" w:cs="Times New Roman"/>
          <w:sz w:val="22"/>
          <w:szCs w:val="22"/>
          <w:lang w:val="lv-LV"/>
        </w:rPr>
        <w:t>. Dispečera</w:t>
      </w:r>
      <w:r w:rsidR="00E8647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dotajā</w:t>
      </w:r>
      <w:r w:rsidR="003D54A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E86472" w:rsidRPr="00A4543F">
        <w:rPr>
          <w:rFonts w:ascii="Times New Roman" w:hAnsi="Times New Roman" w:cs="Times New Roman"/>
          <w:sz w:val="22"/>
          <w:szCs w:val="22"/>
          <w:lang w:val="lv-LV"/>
        </w:rPr>
        <w:t>de</w:t>
      </w:r>
      <w:r w:rsidR="007F244A">
        <w:rPr>
          <w:rFonts w:ascii="Times New Roman" w:hAnsi="Times New Roman" w:cs="Times New Roman"/>
          <w:sz w:val="22"/>
          <w:szCs w:val="22"/>
          <w:lang w:val="lv-LV"/>
        </w:rPr>
        <w:t>z</w:t>
      </w:r>
      <w:r w:rsidR="003D54A2" w:rsidRPr="00A4543F">
        <w:rPr>
          <w:rFonts w:ascii="Times New Roman" w:hAnsi="Times New Roman" w:cs="Times New Roman"/>
          <w:sz w:val="22"/>
          <w:szCs w:val="22"/>
          <w:lang w:val="lv-LV"/>
        </w:rPr>
        <w:t>aktivizācijas komandā jānorāda jaudas aktivizācijas beigu laiks.</w:t>
      </w:r>
    </w:p>
    <w:p w14:paraId="335A0122" w14:textId="7C76DA45" w:rsidR="00906961" w:rsidRPr="00A4543F" w:rsidRDefault="00E97D31" w:rsidP="00D57579">
      <w:pPr>
        <w:pStyle w:val="Caption"/>
        <w:numPr>
          <w:ilvl w:val="1"/>
          <w:numId w:val="7"/>
        </w:numPr>
        <w:spacing w:before="0" w:after="180"/>
        <w:ind w:left="709" w:hanging="709"/>
        <w:rPr>
          <w:rFonts w:ascii="Times New Roman" w:hAnsi="Times New Roman" w:cs="Times New Roman"/>
          <w:sz w:val="22"/>
          <w:szCs w:val="22"/>
          <w:lang w:val="lv-LV"/>
        </w:rPr>
      </w:pPr>
      <w:r w:rsidRPr="00A4543F">
        <w:rPr>
          <w:rFonts w:ascii="Times New Roman" w:hAnsi="Times New Roman" w:cs="Times New Roman"/>
          <w:sz w:val="22"/>
          <w:szCs w:val="22"/>
          <w:lang w:val="lv-LV"/>
        </w:rPr>
        <w:t>RPS</w:t>
      </w:r>
      <w:r w:rsidR="003D54A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ir pienākums</w:t>
      </w:r>
      <w:r w:rsidR="00CD5C15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nosūtīt apstiprinājumu par saņemšanu</w:t>
      </w:r>
      <w:r w:rsidR="003D54A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par katru saņemto elektronisko pastu ar PSO </w:t>
      </w:r>
      <w:r w:rsidR="00CD5C15" w:rsidRPr="00A4543F">
        <w:rPr>
          <w:rFonts w:ascii="Times New Roman" w:hAnsi="Times New Roman" w:cs="Times New Roman"/>
          <w:sz w:val="22"/>
          <w:szCs w:val="22"/>
          <w:lang w:val="lv-LV"/>
        </w:rPr>
        <w:t>dispečera komandu</w:t>
      </w:r>
      <w:r w:rsidR="00D57579">
        <w:rPr>
          <w:rFonts w:ascii="Times New Roman" w:hAnsi="Times New Roman" w:cs="Times New Roman"/>
          <w:sz w:val="22"/>
          <w:szCs w:val="22"/>
          <w:lang w:val="lv-LV"/>
        </w:rPr>
        <w:t xml:space="preserve"> saskaņā ar šo N</w:t>
      </w:r>
      <w:r w:rsidR="00906961" w:rsidRPr="00A4543F">
        <w:rPr>
          <w:rFonts w:ascii="Times New Roman" w:hAnsi="Times New Roman" w:cs="Times New Roman"/>
          <w:sz w:val="22"/>
          <w:szCs w:val="22"/>
          <w:lang w:val="lv-LV"/>
        </w:rPr>
        <w:t>oteikumu</w:t>
      </w:r>
      <w:r w:rsidR="00D51430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0272A7">
        <w:rPr>
          <w:rFonts w:ascii="Times New Roman" w:hAnsi="Times New Roman" w:cs="Times New Roman"/>
          <w:sz w:val="22"/>
          <w:szCs w:val="22"/>
          <w:lang w:val="lv-LV"/>
        </w:rPr>
        <w:t>3.</w:t>
      </w:r>
      <w:r w:rsidR="007C3E9E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0272A7">
        <w:rPr>
          <w:rFonts w:ascii="Times New Roman" w:hAnsi="Times New Roman" w:cs="Times New Roman"/>
          <w:sz w:val="22"/>
          <w:szCs w:val="22"/>
          <w:lang w:val="lv-LV"/>
        </w:rPr>
        <w:t>pielikumu</w:t>
      </w:r>
      <w:r w:rsidR="003D54A2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. </w:t>
      </w:r>
    </w:p>
    <w:p w14:paraId="66FCE303" w14:textId="21B98226" w:rsidR="008842F6" w:rsidRPr="00A4543F" w:rsidRDefault="003D54A2" w:rsidP="00D57579">
      <w:pPr>
        <w:pStyle w:val="Caption"/>
        <w:numPr>
          <w:ilvl w:val="1"/>
          <w:numId w:val="7"/>
        </w:numPr>
        <w:spacing w:before="0" w:after="180"/>
        <w:ind w:left="709" w:hanging="709"/>
        <w:rPr>
          <w:rFonts w:ascii="Times New Roman" w:hAnsi="Times New Roman" w:cs="Times New Roman"/>
          <w:sz w:val="22"/>
          <w:szCs w:val="22"/>
          <w:lang w:val="lv-LV"/>
        </w:rPr>
      </w:pP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Gadījumā, ja </w:t>
      </w:r>
      <w:r w:rsidR="008E5D1B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tirdzniecības </w:t>
      </w:r>
      <w:r w:rsidR="000272A7" w:rsidRPr="00A4543F">
        <w:rPr>
          <w:rFonts w:ascii="Times New Roman" w:hAnsi="Times New Roman" w:cs="Times New Roman"/>
          <w:sz w:val="22"/>
          <w:szCs w:val="22"/>
          <w:lang w:val="lv-LV"/>
        </w:rPr>
        <w:t>intervāl</w:t>
      </w:r>
      <w:r w:rsidR="000272A7">
        <w:rPr>
          <w:rFonts w:ascii="Times New Roman" w:hAnsi="Times New Roman" w:cs="Times New Roman"/>
          <w:sz w:val="22"/>
          <w:szCs w:val="22"/>
          <w:lang w:val="lv-LV"/>
        </w:rPr>
        <w:t>a</w:t>
      </w:r>
      <w:r w:rsidR="000272A7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laikā elektroniskā pasta pakalpojumi nav pieejami</w:t>
      </w:r>
      <w:r w:rsidR="000272A7">
        <w:rPr>
          <w:rFonts w:ascii="Times New Roman" w:hAnsi="Times New Roman" w:cs="Times New Roman"/>
          <w:sz w:val="22"/>
          <w:szCs w:val="22"/>
          <w:lang w:val="lv-LV"/>
        </w:rPr>
        <w:t>,</w:t>
      </w:r>
      <w:r w:rsidR="00906961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PSO un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CD5C15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RPS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ir tiesības izmantot telefonsakarus, lai veiktu</w:t>
      </w:r>
      <w:r w:rsidR="008842F6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aktivizācijas vai de</w:t>
      </w:r>
      <w:r w:rsidR="007F244A">
        <w:rPr>
          <w:rFonts w:ascii="Times New Roman" w:hAnsi="Times New Roman" w:cs="Times New Roman"/>
          <w:sz w:val="22"/>
          <w:szCs w:val="22"/>
          <w:lang w:val="lv-LV"/>
        </w:rPr>
        <w:t>z</w:t>
      </w:r>
      <w:r w:rsidR="008842F6" w:rsidRPr="00A4543F">
        <w:rPr>
          <w:rFonts w:ascii="Times New Roman" w:hAnsi="Times New Roman" w:cs="Times New Roman"/>
          <w:sz w:val="22"/>
          <w:szCs w:val="22"/>
          <w:lang w:val="lv-LV"/>
        </w:rPr>
        <w:t>aktivizācijas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906961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rīkojumu vai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apstiprinājumu par PSO dispečera komandas saņemšanu</w:t>
      </w:r>
      <w:r w:rsidR="008842F6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. </w:t>
      </w:r>
      <w:r w:rsidR="008842F6" w:rsidRPr="00A4543F">
        <w:rPr>
          <w:rFonts w:ascii="Times New Roman" w:hAnsi="Times New Roman" w:cs="Times New Roman"/>
          <w:sz w:val="22"/>
          <w:szCs w:val="22"/>
          <w:lang w:val="lv-LV"/>
        </w:rPr>
        <w:t>PSO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8842F6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un/vai RPS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ir pienākums nekavējoties </w:t>
      </w:r>
      <w:r w:rsidR="008E5D1B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elektroniski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nosūtīt</w:t>
      </w:r>
      <w:r w:rsidR="008842F6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iepriekšminēto informāciju elektroniski tiklīdz elektroniskā pasta pakalpojumu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pieejamība ir atjaunota.</w:t>
      </w:r>
    </w:p>
    <w:p w14:paraId="567CEF34" w14:textId="4B96BC7D" w:rsidR="008842F6" w:rsidRPr="00A4543F" w:rsidRDefault="00CD5C15" w:rsidP="00D57579">
      <w:pPr>
        <w:pStyle w:val="Caption"/>
        <w:numPr>
          <w:ilvl w:val="1"/>
          <w:numId w:val="7"/>
        </w:numPr>
        <w:spacing w:before="0" w:after="180"/>
        <w:ind w:left="709" w:hanging="709"/>
        <w:rPr>
          <w:rFonts w:ascii="Times New Roman" w:hAnsi="Times New Roman" w:cs="Times New Roman"/>
          <w:sz w:val="22"/>
          <w:szCs w:val="22"/>
          <w:lang w:val="lv-LV"/>
        </w:rPr>
      </w:pPr>
      <w:bookmarkStart w:id="2" w:name="_Ref500741206"/>
      <w:r w:rsidRPr="00A4543F">
        <w:rPr>
          <w:rFonts w:ascii="Times New Roman" w:hAnsi="Times New Roman" w:cs="Times New Roman"/>
          <w:sz w:val="22"/>
          <w:szCs w:val="22"/>
          <w:lang w:val="lv-LV"/>
        </w:rPr>
        <w:t>Gadījumā, ja pēc PSO dispečera aktivizācijas komandas vai aktivizācijas pārtraukšanas komandas nosūtīšanas RPS no RPS apstiprinājums par saņemšanu netiek saņemts 1 (vienas) minūtes laikā, tad PSO dispečers izmanto telefonsakarus saziņai ar RPS, lai veiktu regulēšanas produkta solījuma aktivizācijas komandas vai aktivizācijas pārtraukšanas komandas nodošanu.</w:t>
      </w:r>
      <w:bookmarkEnd w:id="2"/>
    </w:p>
    <w:p w14:paraId="23EB8E5E" w14:textId="2FA0CB50" w:rsidR="008842F6" w:rsidRPr="00A4543F" w:rsidRDefault="008842F6" w:rsidP="00D57579">
      <w:pPr>
        <w:pStyle w:val="Caption"/>
        <w:numPr>
          <w:ilvl w:val="1"/>
          <w:numId w:val="7"/>
        </w:numPr>
        <w:spacing w:before="0" w:after="180"/>
        <w:ind w:left="709" w:hanging="709"/>
        <w:rPr>
          <w:rFonts w:ascii="Times New Roman" w:hAnsi="Times New Roman" w:cs="Times New Roman"/>
          <w:sz w:val="22"/>
          <w:szCs w:val="22"/>
          <w:lang w:val="lv-LV"/>
        </w:rPr>
      </w:pPr>
      <w:r w:rsidRPr="00A4543F">
        <w:rPr>
          <w:rFonts w:ascii="Times New Roman" w:hAnsi="Times New Roman" w:cs="Times New Roman"/>
          <w:sz w:val="22"/>
          <w:szCs w:val="22"/>
          <w:lang w:val="lv-LV"/>
        </w:rPr>
        <w:t>Gadījumā, ja PSO</w:t>
      </w:r>
      <w:r w:rsidR="000272A7">
        <w:rPr>
          <w:rFonts w:ascii="Times New Roman" w:hAnsi="Times New Roman" w:cs="Times New Roman"/>
          <w:sz w:val="22"/>
          <w:szCs w:val="22"/>
          <w:lang w:val="lv-LV"/>
        </w:rPr>
        <w:t>,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veicot šo Noteikumu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fldChar w:fldCharType="begin"/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instrText xml:space="preserve"> REF _Ref500741206 \r \h </w:instrText>
      </w:r>
      <w:r w:rsidR="00A4543F" w:rsidRPr="00A4543F">
        <w:rPr>
          <w:rFonts w:ascii="Times New Roman" w:hAnsi="Times New Roman" w:cs="Times New Roman"/>
          <w:sz w:val="22"/>
          <w:szCs w:val="22"/>
          <w:lang w:val="lv-LV"/>
        </w:rPr>
        <w:instrText xml:space="preserve"> \* MERGEFORMAT </w:instrText>
      </w:r>
      <w:r w:rsidRPr="00A4543F">
        <w:rPr>
          <w:rFonts w:ascii="Times New Roman" w:hAnsi="Times New Roman" w:cs="Times New Roman"/>
          <w:sz w:val="22"/>
          <w:szCs w:val="22"/>
          <w:lang w:val="lv-LV"/>
        </w:rPr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fldChar w:fldCharType="separate"/>
      </w:r>
      <w:r w:rsidR="000C0C2A">
        <w:rPr>
          <w:rFonts w:ascii="Times New Roman" w:hAnsi="Times New Roman" w:cs="Times New Roman"/>
          <w:sz w:val="22"/>
          <w:szCs w:val="22"/>
          <w:lang w:val="lv-LV"/>
        </w:rPr>
        <w:t>3.7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fldChar w:fldCharType="end"/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. punktā minētās darbības</w:t>
      </w:r>
      <w:r w:rsidR="000272A7">
        <w:rPr>
          <w:rFonts w:ascii="Times New Roman" w:hAnsi="Times New Roman" w:cs="Times New Roman"/>
          <w:sz w:val="22"/>
          <w:szCs w:val="22"/>
          <w:lang w:val="lv-LV"/>
        </w:rPr>
        <w:t>,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neizdodas gūt no RPS apstiprinājumu par aktivizācijas komandas saņemšanu, PSO ir tiesības uzskatīt konkrēto </w:t>
      </w:r>
      <w:r w:rsidR="007F244A">
        <w:rPr>
          <w:rFonts w:ascii="Times New Roman" w:hAnsi="Times New Roman" w:cs="Times New Roman"/>
          <w:sz w:val="22"/>
          <w:szCs w:val="22"/>
          <w:lang w:val="lv-LV"/>
        </w:rPr>
        <w:t xml:space="preserve">regulēšanas pakalpojuma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solījumu par nepieejamu.</w:t>
      </w:r>
    </w:p>
    <w:p w14:paraId="7B4DBA16" w14:textId="32319AF0" w:rsidR="008842F6" w:rsidRPr="00A4543F" w:rsidRDefault="008842F6" w:rsidP="00D57579">
      <w:pPr>
        <w:pStyle w:val="Caption"/>
        <w:numPr>
          <w:ilvl w:val="1"/>
          <w:numId w:val="7"/>
        </w:numPr>
        <w:spacing w:before="0" w:after="180"/>
        <w:ind w:left="709" w:hanging="709"/>
        <w:contextualSpacing/>
        <w:rPr>
          <w:rFonts w:ascii="Times New Roman" w:hAnsi="Times New Roman" w:cs="Times New Roman"/>
          <w:sz w:val="22"/>
          <w:szCs w:val="22"/>
          <w:lang w:val="lv-LV"/>
        </w:rPr>
      </w:pPr>
      <w:r w:rsidRPr="00A4543F">
        <w:rPr>
          <w:rFonts w:ascii="Times New Roman" w:hAnsi="Times New Roman" w:cs="Times New Roman"/>
          <w:sz w:val="22"/>
          <w:szCs w:val="22"/>
          <w:lang w:val="lv-LV"/>
        </w:rPr>
        <w:t>Gadījumā, ja PSO</w:t>
      </w:r>
      <w:r w:rsidR="000272A7">
        <w:rPr>
          <w:rFonts w:ascii="Times New Roman" w:hAnsi="Times New Roman" w:cs="Times New Roman"/>
          <w:sz w:val="22"/>
          <w:szCs w:val="22"/>
          <w:lang w:val="lv-LV"/>
        </w:rPr>
        <w:t>,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veicot šo Noteikumu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fldChar w:fldCharType="begin"/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instrText xml:space="preserve"> REF _Ref500741206 \r \h </w:instrText>
      </w:r>
      <w:r w:rsidR="00A4543F" w:rsidRPr="00A4543F">
        <w:rPr>
          <w:rFonts w:ascii="Times New Roman" w:hAnsi="Times New Roman" w:cs="Times New Roman"/>
          <w:sz w:val="22"/>
          <w:szCs w:val="22"/>
          <w:lang w:val="lv-LV"/>
        </w:rPr>
        <w:instrText xml:space="preserve"> \* MERGEFORMAT </w:instrText>
      </w:r>
      <w:r w:rsidRPr="00A4543F">
        <w:rPr>
          <w:rFonts w:ascii="Times New Roman" w:hAnsi="Times New Roman" w:cs="Times New Roman"/>
          <w:sz w:val="22"/>
          <w:szCs w:val="22"/>
          <w:lang w:val="lv-LV"/>
        </w:rPr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fldChar w:fldCharType="separate"/>
      </w:r>
      <w:r w:rsidR="000C0C2A">
        <w:rPr>
          <w:rFonts w:ascii="Times New Roman" w:hAnsi="Times New Roman" w:cs="Times New Roman"/>
          <w:sz w:val="22"/>
          <w:szCs w:val="22"/>
          <w:lang w:val="lv-LV"/>
        </w:rPr>
        <w:t>3.7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fldChar w:fldCharType="end"/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. punktā minētās darbības neizdodas gūt no RPS apstiprinājumu par de</w:t>
      </w:r>
      <w:r w:rsidR="007F244A">
        <w:rPr>
          <w:rFonts w:ascii="Times New Roman" w:hAnsi="Times New Roman" w:cs="Times New Roman"/>
          <w:sz w:val="22"/>
          <w:szCs w:val="22"/>
          <w:lang w:val="lv-LV"/>
        </w:rPr>
        <w:t>z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aktivizācijas komandas </w:t>
      </w:r>
      <w:r w:rsidR="00A4543F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saņemšanu, </w:t>
      </w:r>
      <w:r w:rsidR="00B85DE3">
        <w:rPr>
          <w:rFonts w:ascii="Times New Roman" w:hAnsi="Times New Roman" w:cs="Times New Roman"/>
          <w:sz w:val="22"/>
          <w:szCs w:val="22"/>
          <w:lang w:val="lv-LV"/>
        </w:rPr>
        <w:t>de</w:t>
      </w:r>
      <w:r w:rsidR="007F244A">
        <w:rPr>
          <w:rFonts w:ascii="Times New Roman" w:hAnsi="Times New Roman" w:cs="Times New Roman"/>
          <w:sz w:val="22"/>
          <w:szCs w:val="22"/>
          <w:lang w:val="lv-LV"/>
        </w:rPr>
        <w:t>z</w:t>
      </w:r>
      <w:r w:rsidR="00B85DE3">
        <w:rPr>
          <w:rFonts w:ascii="Times New Roman" w:hAnsi="Times New Roman" w:cs="Times New Roman"/>
          <w:sz w:val="22"/>
          <w:szCs w:val="22"/>
          <w:lang w:val="lv-LV"/>
        </w:rPr>
        <w:t>aktivizācijas laiks</w:t>
      </w:r>
      <w:r w:rsidR="00A4543F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tiek noteikts sekojoši: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</w:p>
    <w:p w14:paraId="37222D49" w14:textId="60E8C58C" w:rsidR="008842F6" w:rsidRPr="00A4543F" w:rsidRDefault="00A4543F" w:rsidP="00D57579">
      <w:pPr>
        <w:pStyle w:val="Caption"/>
        <w:numPr>
          <w:ilvl w:val="2"/>
          <w:numId w:val="7"/>
        </w:numPr>
        <w:spacing w:before="0" w:after="180"/>
        <w:ind w:left="1701" w:hanging="709"/>
        <w:contextualSpacing/>
        <w:rPr>
          <w:rFonts w:ascii="Times New Roman" w:hAnsi="Times New Roman" w:cs="Times New Roman"/>
          <w:sz w:val="22"/>
          <w:szCs w:val="22"/>
          <w:lang w:val="lv-LV"/>
        </w:rPr>
      </w:pPr>
      <w:r w:rsidRPr="00A4543F">
        <w:rPr>
          <w:rFonts w:ascii="Times New Roman" w:hAnsi="Times New Roman" w:cs="Times New Roman"/>
          <w:sz w:val="22"/>
          <w:szCs w:val="22"/>
          <w:lang w:val="lv-LV"/>
        </w:rPr>
        <w:t>j</w:t>
      </w:r>
      <w:r w:rsidR="008842F6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a PSO var pierādīt, ka PSO ir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nodevis</w:t>
      </w:r>
      <w:r w:rsidR="008842F6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de</w:t>
      </w:r>
      <w:r w:rsidR="007F244A">
        <w:rPr>
          <w:rFonts w:ascii="Times New Roman" w:hAnsi="Times New Roman" w:cs="Times New Roman"/>
          <w:sz w:val="22"/>
          <w:szCs w:val="22"/>
          <w:lang w:val="lv-LV"/>
        </w:rPr>
        <w:t>z</w:t>
      </w:r>
      <w:r w:rsidR="008842F6" w:rsidRPr="00A4543F">
        <w:rPr>
          <w:rFonts w:ascii="Times New Roman" w:hAnsi="Times New Roman" w:cs="Times New Roman"/>
          <w:sz w:val="22"/>
          <w:szCs w:val="22"/>
          <w:lang w:val="lv-LV"/>
        </w:rPr>
        <w:t>aktivizācijas ziņojumu elektroniski un/ vai telefoniski, tad tiek uzskatīts, ka RPS veica de</w:t>
      </w:r>
      <w:r w:rsidR="007F244A">
        <w:rPr>
          <w:rFonts w:ascii="Times New Roman" w:hAnsi="Times New Roman" w:cs="Times New Roman"/>
          <w:sz w:val="22"/>
          <w:szCs w:val="22"/>
          <w:lang w:val="lv-LV"/>
        </w:rPr>
        <w:t>z</w:t>
      </w:r>
      <w:r w:rsidR="008842F6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aktivizāciju brīdī, kad PSO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nodeva de</w:t>
      </w:r>
      <w:r w:rsidR="007F244A">
        <w:rPr>
          <w:rFonts w:ascii="Times New Roman" w:hAnsi="Times New Roman" w:cs="Times New Roman"/>
          <w:sz w:val="22"/>
          <w:szCs w:val="22"/>
          <w:lang w:val="lv-LV"/>
        </w:rPr>
        <w:t>z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aktivizācijas rīkojumu;</w:t>
      </w:r>
    </w:p>
    <w:p w14:paraId="641AFEE5" w14:textId="4F9FEF6F" w:rsidR="008842F6" w:rsidRPr="007B590D" w:rsidRDefault="00A4543F" w:rsidP="00D57579">
      <w:pPr>
        <w:pStyle w:val="Caption"/>
        <w:numPr>
          <w:ilvl w:val="2"/>
          <w:numId w:val="7"/>
        </w:numPr>
        <w:spacing w:before="0" w:after="180"/>
        <w:ind w:left="1701" w:hanging="709"/>
        <w:rPr>
          <w:rFonts w:ascii="Times New Roman" w:hAnsi="Times New Roman" w:cs="Times New Roman"/>
          <w:sz w:val="22"/>
          <w:szCs w:val="22"/>
          <w:lang w:val="lv-LV"/>
        </w:rPr>
      </w:pPr>
      <w:r w:rsidRPr="007B590D">
        <w:rPr>
          <w:rFonts w:ascii="Times New Roman" w:hAnsi="Times New Roman" w:cs="Times New Roman"/>
          <w:sz w:val="22"/>
          <w:szCs w:val="22"/>
          <w:lang w:val="lv-LV"/>
        </w:rPr>
        <w:t>j</w:t>
      </w:r>
      <w:r w:rsidR="008842F6" w:rsidRPr="007B590D">
        <w:rPr>
          <w:rFonts w:ascii="Times New Roman" w:hAnsi="Times New Roman" w:cs="Times New Roman"/>
          <w:sz w:val="22"/>
          <w:szCs w:val="22"/>
          <w:lang w:val="lv-LV"/>
        </w:rPr>
        <w:t xml:space="preserve">a PSO nevar pierādīt, ka PSO ir </w:t>
      </w:r>
      <w:r w:rsidRPr="007B590D">
        <w:rPr>
          <w:rFonts w:ascii="Times New Roman" w:hAnsi="Times New Roman" w:cs="Times New Roman"/>
          <w:sz w:val="22"/>
          <w:szCs w:val="22"/>
          <w:lang w:val="lv-LV"/>
        </w:rPr>
        <w:t>nodevis</w:t>
      </w:r>
      <w:r w:rsidR="008842F6" w:rsidRPr="007B590D">
        <w:rPr>
          <w:rFonts w:ascii="Times New Roman" w:hAnsi="Times New Roman" w:cs="Times New Roman"/>
          <w:sz w:val="22"/>
          <w:szCs w:val="22"/>
          <w:lang w:val="lv-LV"/>
        </w:rPr>
        <w:t xml:space="preserve"> de</w:t>
      </w:r>
      <w:r w:rsidR="007F244A" w:rsidRPr="007B590D">
        <w:rPr>
          <w:rFonts w:ascii="Times New Roman" w:hAnsi="Times New Roman" w:cs="Times New Roman"/>
          <w:sz w:val="22"/>
          <w:szCs w:val="22"/>
          <w:lang w:val="lv-LV"/>
        </w:rPr>
        <w:t>z</w:t>
      </w:r>
      <w:r w:rsidR="008842F6" w:rsidRPr="007B590D">
        <w:rPr>
          <w:rFonts w:ascii="Times New Roman" w:hAnsi="Times New Roman" w:cs="Times New Roman"/>
          <w:sz w:val="22"/>
          <w:szCs w:val="22"/>
          <w:lang w:val="lv-LV"/>
        </w:rPr>
        <w:t xml:space="preserve">aktivizācijas ziņojumu elektroniski un/ vai telefoniski, </w:t>
      </w:r>
      <w:r w:rsidRPr="007B590D">
        <w:rPr>
          <w:rFonts w:ascii="Times New Roman" w:hAnsi="Times New Roman" w:cs="Times New Roman"/>
          <w:sz w:val="22"/>
          <w:szCs w:val="22"/>
          <w:lang w:val="lv-LV"/>
        </w:rPr>
        <w:t>tad tiek uzskatīts, ka RPS veica de</w:t>
      </w:r>
      <w:r w:rsidR="007F244A" w:rsidRPr="007B590D">
        <w:rPr>
          <w:rFonts w:ascii="Times New Roman" w:hAnsi="Times New Roman" w:cs="Times New Roman"/>
          <w:sz w:val="22"/>
          <w:szCs w:val="22"/>
          <w:lang w:val="lv-LV"/>
        </w:rPr>
        <w:t>z</w:t>
      </w:r>
      <w:r w:rsidRPr="007B590D">
        <w:rPr>
          <w:rFonts w:ascii="Times New Roman" w:hAnsi="Times New Roman" w:cs="Times New Roman"/>
          <w:sz w:val="22"/>
          <w:szCs w:val="22"/>
          <w:lang w:val="lv-LV"/>
        </w:rPr>
        <w:t xml:space="preserve">aktivizāciju </w:t>
      </w:r>
      <w:r w:rsidR="003A2B23" w:rsidRPr="007B590D">
        <w:rPr>
          <w:rFonts w:ascii="Times New Roman" w:hAnsi="Times New Roman" w:cs="Times New Roman"/>
          <w:sz w:val="22"/>
          <w:szCs w:val="22"/>
          <w:lang w:val="lv-LV"/>
        </w:rPr>
        <w:t xml:space="preserve">līdz aktivizācijas komandā norādītā </w:t>
      </w:r>
      <w:r w:rsidR="007B590D" w:rsidRPr="007B590D">
        <w:rPr>
          <w:rFonts w:ascii="Times New Roman" w:hAnsi="Times New Roman" w:cs="Times New Roman"/>
          <w:sz w:val="22"/>
          <w:szCs w:val="22"/>
          <w:lang w:val="lv-LV"/>
        </w:rPr>
        <w:t>aktivizācijas</w:t>
      </w:r>
      <w:r w:rsidR="003A2B23" w:rsidRPr="007B590D">
        <w:rPr>
          <w:rFonts w:ascii="Times New Roman" w:hAnsi="Times New Roman" w:cs="Times New Roman"/>
          <w:sz w:val="22"/>
          <w:szCs w:val="22"/>
          <w:lang w:val="lv-LV"/>
        </w:rPr>
        <w:t xml:space="preserve"> beigu laikam.</w:t>
      </w:r>
    </w:p>
    <w:p w14:paraId="0C15A21E" w14:textId="1CEDA366" w:rsidR="008842F6" w:rsidRPr="00A4543F" w:rsidRDefault="00F03EAD" w:rsidP="00D57579">
      <w:pPr>
        <w:pStyle w:val="Caption"/>
        <w:numPr>
          <w:ilvl w:val="1"/>
          <w:numId w:val="7"/>
        </w:numPr>
        <w:spacing w:before="0" w:after="180"/>
        <w:ind w:left="709" w:hanging="709"/>
        <w:rPr>
          <w:rFonts w:ascii="Times New Roman" w:hAnsi="Times New Roman" w:cs="Times New Roman"/>
          <w:sz w:val="22"/>
          <w:szCs w:val="22"/>
          <w:lang w:val="lv-LV"/>
        </w:rPr>
      </w:pP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Pēc aktivizācijas komandas saņemšanas RPS ir pienākums </w:t>
      </w:r>
      <w:r w:rsidR="00A4543F" w:rsidRPr="00A4543F">
        <w:rPr>
          <w:rFonts w:ascii="Times New Roman" w:hAnsi="Times New Roman" w:cs="Times New Roman"/>
          <w:sz w:val="22"/>
          <w:szCs w:val="22"/>
          <w:lang w:val="lv-LV"/>
        </w:rPr>
        <w:t>izpildīt dispečera komandu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 saskaņā ar dispečera </w:t>
      </w:r>
      <w:r w:rsidR="00AD638C" w:rsidRPr="00A4543F">
        <w:rPr>
          <w:rFonts w:ascii="Times New Roman" w:hAnsi="Times New Roman" w:cs="Times New Roman"/>
          <w:sz w:val="22"/>
          <w:szCs w:val="22"/>
          <w:lang w:val="lv-LV"/>
        </w:rPr>
        <w:t xml:space="preserve">doto </w:t>
      </w:r>
      <w:r w:rsidRPr="00A4543F">
        <w:rPr>
          <w:rFonts w:ascii="Times New Roman" w:hAnsi="Times New Roman" w:cs="Times New Roman"/>
          <w:sz w:val="22"/>
          <w:szCs w:val="22"/>
          <w:lang w:val="lv-LV"/>
        </w:rPr>
        <w:t>aktivizācijas komandas rīkojumu.</w:t>
      </w:r>
    </w:p>
    <w:p w14:paraId="0D30B295" w14:textId="77777777" w:rsidR="00A13CCA" w:rsidRDefault="00F03EAD" w:rsidP="00A13CCA">
      <w:pPr>
        <w:pStyle w:val="Caption"/>
        <w:numPr>
          <w:ilvl w:val="1"/>
          <w:numId w:val="7"/>
        </w:numPr>
        <w:spacing w:before="0" w:after="180"/>
        <w:ind w:left="709" w:hanging="709"/>
        <w:rPr>
          <w:rFonts w:ascii="Times New Roman" w:hAnsi="Times New Roman" w:cs="Times New Roman"/>
          <w:sz w:val="22"/>
          <w:szCs w:val="22"/>
          <w:lang w:val="lv-LV"/>
        </w:rPr>
      </w:pPr>
      <w:r w:rsidRPr="00A4543F">
        <w:rPr>
          <w:rFonts w:ascii="Times New Roman" w:hAnsi="Times New Roman" w:cs="Times New Roman"/>
          <w:sz w:val="22"/>
          <w:szCs w:val="22"/>
          <w:lang w:val="lv-LV"/>
        </w:rPr>
        <w:lastRenderedPageBreak/>
        <w:t xml:space="preserve">Faktiskais aktivizācijas apjoms tirdzniecības intervālā nedrīkst atšķirties no dispečera komandas rīkojumā noteiktā apjoma vairāk par 20% (divdesmit procentiem). Gadījumā, ja dispečera komandas rīkojumu precīza neizpilde atkārtojas, PSO ir tiesības rakstveidā brīdināt RPS par </w:t>
      </w:r>
      <w:r w:rsidR="007D7802">
        <w:rPr>
          <w:rFonts w:ascii="Times New Roman" w:hAnsi="Times New Roman" w:cs="Times New Roman"/>
          <w:sz w:val="22"/>
          <w:szCs w:val="22"/>
          <w:lang w:val="lv-LV"/>
        </w:rPr>
        <w:t>šo Noteikumu prasību pārkāpumu.</w:t>
      </w:r>
    </w:p>
    <w:p w14:paraId="3F7FCEF6" w14:textId="6802CA61" w:rsidR="00D57579" w:rsidRPr="00A13CCA" w:rsidRDefault="008E5D1B" w:rsidP="00A13CCA">
      <w:pPr>
        <w:pStyle w:val="Caption"/>
        <w:numPr>
          <w:ilvl w:val="0"/>
          <w:numId w:val="4"/>
        </w:numPr>
        <w:spacing w:before="0" w:after="180"/>
        <w:jc w:val="center"/>
        <w:rPr>
          <w:rFonts w:ascii="Times New Roman" w:eastAsia="Calibri" w:hAnsi="Times New Roman" w:cs="Times New Roman"/>
          <w:b/>
          <w:bCs/>
          <w:caps/>
          <w:sz w:val="22"/>
          <w:szCs w:val="22"/>
          <w:lang w:val="lv-LV" w:eastAsia="en-US"/>
        </w:rPr>
      </w:pPr>
      <w:r w:rsidRPr="00A13CCA">
        <w:rPr>
          <w:rFonts w:ascii="Times New Roman" w:eastAsia="Calibri" w:hAnsi="Times New Roman" w:cs="Times New Roman"/>
          <w:b/>
          <w:bCs/>
          <w:caps/>
          <w:sz w:val="22"/>
          <w:szCs w:val="22"/>
          <w:lang w:val="lv-LV" w:eastAsia="en-US"/>
        </w:rPr>
        <w:t>Regulēšanas pakalpojuma maksas noteikšana</w:t>
      </w:r>
    </w:p>
    <w:p w14:paraId="25339A05" w14:textId="32E1577A" w:rsidR="00D57579" w:rsidRPr="00A4543F" w:rsidRDefault="007F244A" w:rsidP="00D57579">
      <w:pPr>
        <w:pStyle w:val="ListParagraph"/>
        <w:numPr>
          <w:ilvl w:val="1"/>
          <w:numId w:val="4"/>
        </w:numPr>
        <w:spacing w:after="180"/>
        <w:ind w:left="567" w:hanging="567"/>
        <w:jc w:val="both"/>
        <w:rPr>
          <w:sz w:val="22"/>
        </w:rPr>
      </w:pPr>
      <w:r>
        <w:rPr>
          <w:sz w:val="22"/>
        </w:rPr>
        <w:t xml:space="preserve">Regulēšanas pakalpojuma maksu par </w:t>
      </w:r>
      <w:r w:rsidR="00D57579" w:rsidRPr="00A4543F">
        <w:rPr>
          <w:sz w:val="22"/>
        </w:rPr>
        <w:t>RPS pārdoto un PSO nopirkto regulēšanas enerģiju (regulēšanu uz noslodzi) konkrētā norēķinu periodā PSO nosaka:</w:t>
      </w:r>
    </w:p>
    <w:p w14:paraId="47A885D0" w14:textId="220C49AE" w:rsidR="00D57579" w:rsidRPr="00A4543F" w:rsidRDefault="002B7C4A" w:rsidP="00D57579">
      <w:pPr>
        <w:pStyle w:val="ListParagraph"/>
        <w:spacing w:after="180"/>
        <w:ind w:left="360"/>
        <w:jc w:val="center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M</m:t>
            </m:r>
          </m:e>
          <m:sub>
            <m:r>
              <w:rPr>
                <w:rFonts w:ascii="Cambria Math" w:hAnsi="Cambria Math"/>
                <w:sz w:val="22"/>
              </w:rPr>
              <m:t>rega</m:t>
            </m:r>
          </m:sub>
        </m:sSub>
        <m:r>
          <w:rPr>
            <w:rFonts w:ascii="Cambria Math" w:eastAsia="Cambria Math" w:hAnsi="Cambria Math"/>
            <w:sz w:val="22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 w:val="22"/>
              </w:rPr>
            </m:ctrlPr>
          </m:naryPr>
          <m:sub>
            <m:r>
              <w:rPr>
                <w:rFonts w:ascii="Cambria Math" w:eastAsia="Cambria Math" w:hAnsi="Cambria Math"/>
                <w:sz w:val="22"/>
              </w:rPr>
              <m:t>t=1</m:t>
            </m:r>
          </m:sub>
          <m:sup>
            <m:r>
              <w:rPr>
                <w:rFonts w:ascii="Cambria Math" w:eastAsia="Cambria Math" w:hAnsi="Cambria Math"/>
                <w:sz w:val="22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(E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</w:rPr>
                      <m:t>regna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t</m:t>
                    </m:r>
                  </m:sub>
                </m:sSub>
              </m:sub>
            </m:sSub>
            <m:r>
              <w:rPr>
                <w:rFonts w:ascii="Cambria Math" w:hAnsi="Cambria Math"/>
                <w:sz w:val="22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C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</w:rPr>
                      <m:t>regna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t</m:t>
                    </m:r>
                  </m:sub>
                </m:sSub>
              </m:sub>
            </m:sSub>
            <m:r>
              <w:rPr>
                <w:rFonts w:ascii="Cambria Math" w:hAnsi="Cambria Math"/>
                <w:sz w:val="22"/>
              </w:rPr>
              <m:t>)+</m:t>
            </m:r>
          </m:e>
        </m:nary>
        <m:nary>
          <m:naryPr>
            <m:chr m:val="∑"/>
            <m:grow m:val="1"/>
            <m:ctrlPr>
              <w:rPr>
                <w:rFonts w:ascii="Cambria Math" w:hAnsi="Cambria Math"/>
                <w:sz w:val="22"/>
              </w:rPr>
            </m:ctrlPr>
          </m:naryPr>
          <m:sub>
            <m:r>
              <w:rPr>
                <w:rFonts w:ascii="Cambria Math" w:eastAsia="Cambria Math" w:hAnsi="Cambria Math"/>
                <w:sz w:val="22"/>
              </w:rPr>
              <m:t>n=1</m:t>
            </m:r>
          </m:sub>
          <m:sup>
            <m:r>
              <w:rPr>
                <w:rFonts w:ascii="Cambria Math" w:eastAsia="Cambria Math" w:hAnsi="Cambria Math"/>
                <w:sz w:val="2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(E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</w:rPr>
                      <m:t>regsa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b>
                </m:sSub>
              </m:sub>
            </m:sSub>
            <m:r>
              <w:rPr>
                <w:rFonts w:ascii="Cambria Math" w:hAnsi="Cambria Math"/>
                <w:sz w:val="22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C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</w:rPr>
                      <m:t>regs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b>
                </m:sSub>
              </m:sub>
            </m:sSub>
            <m:r>
              <w:rPr>
                <w:rFonts w:ascii="Cambria Math" w:hAnsi="Cambria Math"/>
                <w:sz w:val="22"/>
              </w:rPr>
              <m:t>)</m:t>
            </m:r>
          </m:e>
        </m:nary>
      </m:oMath>
      <w:r w:rsidR="00D57579" w:rsidRPr="00A4543F">
        <w:rPr>
          <w:sz w:val="22"/>
        </w:rPr>
        <w:t>, kur</w:t>
      </w:r>
    </w:p>
    <w:p w14:paraId="272247CB" w14:textId="2092237F" w:rsidR="00D57579" w:rsidRPr="00A4543F" w:rsidRDefault="002B7C4A" w:rsidP="00D57579">
      <w:pPr>
        <w:tabs>
          <w:tab w:val="left" w:pos="993"/>
          <w:tab w:val="left" w:pos="1276"/>
        </w:tabs>
        <w:spacing w:after="180"/>
        <w:ind w:left="1276" w:hanging="992"/>
        <w:contextualSpacing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M</m:t>
            </m:r>
          </m:e>
          <m:sub>
            <m:r>
              <w:rPr>
                <w:rFonts w:ascii="Cambria Math" w:hAnsi="Cambria Math"/>
                <w:sz w:val="22"/>
              </w:rPr>
              <m:t>rega</m:t>
            </m:r>
          </m:sub>
        </m:sSub>
      </m:oMath>
      <w:r w:rsidR="00D57579">
        <w:rPr>
          <w:sz w:val="22"/>
        </w:rPr>
        <w:tab/>
        <w:t>–</w:t>
      </w:r>
      <w:r w:rsidR="00D57579">
        <w:rPr>
          <w:sz w:val="22"/>
        </w:rPr>
        <w:tab/>
      </w:r>
      <w:r w:rsidR="002E722C">
        <w:rPr>
          <w:sz w:val="22"/>
        </w:rPr>
        <w:t xml:space="preserve">regulēšanas pakalpojuma </w:t>
      </w:r>
      <w:r w:rsidR="00D57579" w:rsidRPr="00A4543F">
        <w:rPr>
          <w:sz w:val="22"/>
        </w:rPr>
        <w:t>maksa par PSO nopir</w:t>
      </w:r>
      <w:r w:rsidR="00C62547">
        <w:rPr>
          <w:sz w:val="22"/>
        </w:rPr>
        <w:t xml:space="preserve">kto un RPS pārdoto regulēšanas </w:t>
      </w:r>
      <w:r w:rsidR="00D57579" w:rsidRPr="00A4543F">
        <w:rPr>
          <w:sz w:val="22"/>
        </w:rPr>
        <w:t>enerģiju</w:t>
      </w:r>
      <w:r w:rsidR="002E722C">
        <w:rPr>
          <w:sz w:val="22"/>
        </w:rPr>
        <w:t xml:space="preserve"> (EUR)</w:t>
      </w:r>
      <w:r w:rsidR="00D57579" w:rsidRPr="00A4543F">
        <w:rPr>
          <w:sz w:val="22"/>
        </w:rPr>
        <w:t>;</w:t>
      </w:r>
    </w:p>
    <w:p w14:paraId="6928F84E" w14:textId="4C735D12" w:rsidR="00D57579" w:rsidRPr="00A4543F" w:rsidRDefault="002B7C4A" w:rsidP="00D57579">
      <w:pPr>
        <w:tabs>
          <w:tab w:val="left" w:pos="993"/>
          <w:tab w:val="left" w:pos="1276"/>
        </w:tabs>
        <w:spacing w:after="180"/>
        <w:ind w:left="1276" w:hanging="992"/>
        <w:contextualSpacing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regna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t</m:t>
                </m:r>
              </m:sub>
            </m:sSub>
          </m:sub>
        </m:sSub>
      </m:oMath>
      <w:r w:rsidR="00D57579">
        <w:rPr>
          <w:sz w:val="22"/>
        </w:rPr>
        <w:tab/>
        <w:t>–</w:t>
      </w:r>
      <w:r w:rsidR="00D57579">
        <w:rPr>
          <w:sz w:val="22"/>
        </w:rPr>
        <w:tab/>
      </w:r>
      <w:r w:rsidR="00D57579" w:rsidRPr="00A4543F">
        <w:rPr>
          <w:sz w:val="22"/>
        </w:rPr>
        <w:t xml:space="preserve">regulēšanas pakalpojuma ietvaros PSO pirktās un RPS pārdotās </w:t>
      </w:r>
      <w:r w:rsidR="002E722C">
        <w:rPr>
          <w:sz w:val="22"/>
        </w:rPr>
        <w:t xml:space="preserve">regulēšanas </w:t>
      </w:r>
      <w:r w:rsidR="007D7802">
        <w:rPr>
          <w:sz w:val="22"/>
        </w:rPr>
        <w:t>enerģijas</w:t>
      </w:r>
      <w:r w:rsidR="007D7802" w:rsidRPr="00A4543F">
        <w:rPr>
          <w:sz w:val="22"/>
        </w:rPr>
        <w:t xml:space="preserve"> </w:t>
      </w:r>
      <w:r w:rsidR="00D57579" w:rsidRPr="00A4543F">
        <w:rPr>
          <w:sz w:val="22"/>
        </w:rPr>
        <w:t>apjoms, kas</w:t>
      </w:r>
      <w:r w:rsidR="00C62547">
        <w:rPr>
          <w:sz w:val="22"/>
        </w:rPr>
        <w:t xml:space="preserve"> piegādāts</w:t>
      </w:r>
      <w:r w:rsidR="00D57579" w:rsidRPr="00A4543F">
        <w:rPr>
          <w:sz w:val="22"/>
        </w:rPr>
        <w:t xml:space="preserve"> </w:t>
      </w:r>
      <w:r w:rsidR="00D57579">
        <w:rPr>
          <w:sz w:val="22"/>
        </w:rPr>
        <w:t xml:space="preserve">augšupvērsti </w:t>
      </w:r>
      <w:r w:rsidR="00D57579" w:rsidRPr="00A4543F">
        <w:rPr>
          <w:sz w:val="22"/>
        </w:rPr>
        <w:t xml:space="preserve">veicot normālo </w:t>
      </w:r>
      <w:r w:rsidR="00C62547">
        <w:rPr>
          <w:sz w:val="22"/>
        </w:rPr>
        <w:t xml:space="preserve">solījuma </w:t>
      </w:r>
      <w:r w:rsidR="00D57579" w:rsidRPr="00A4543F">
        <w:rPr>
          <w:sz w:val="22"/>
        </w:rPr>
        <w:t>aktivizāciju tirdzniecības intervālā</w:t>
      </w:r>
      <w:r w:rsidR="00EA12DF">
        <w:rPr>
          <w:sz w:val="22"/>
        </w:rPr>
        <w:t xml:space="preserve"> </w:t>
      </w:r>
      <w:r w:rsidR="00EA12DF" w:rsidRPr="007F244A">
        <w:rPr>
          <w:i/>
          <w:sz w:val="22"/>
        </w:rPr>
        <w:t>t</w:t>
      </w:r>
      <w:r w:rsidR="002E722C">
        <w:rPr>
          <w:i/>
          <w:sz w:val="22"/>
        </w:rPr>
        <w:t xml:space="preserve"> </w:t>
      </w:r>
      <w:r w:rsidR="002E722C" w:rsidRPr="002E722C">
        <w:rPr>
          <w:sz w:val="22"/>
        </w:rPr>
        <w:t>(MWh)</w:t>
      </w:r>
      <w:r w:rsidR="00D57579" w:rsidRPr="00A4543F">
        <w:rPr>
          <w:sz w:val="22"/>
        </w:rPr>
        <w:t>;</w:t>
      </w:r>
    </w:p>
    <w:p w14:paraId="63CAC610" w14:textId="535BE0B2" w:rsidR="00D57579" w:rsidRPr="00A4543F" w:rsidRDefault="002B7C4A" w:rsidP="00D57579">
      <w:pPr>
        <w:tabs>
          <w:tab w:val="left" w:pos="851"/>
          <w:tab w:val="left" w:pos="993"/>
          <w:tab w:val="left" w:pos="1276"/>
        </w:tabs>
        <w:spacing w:after="180"/>
        <w:ind w:left="1276" w:hanging="992"/>
        <w:contextualSpacing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regna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t</m:t>
                </m:r>
              </m:sub>
            </m:sSub>
          </m:sub>
        </m:sSub>
      </m:oMath>
      <w:r w:rsidR="00D57579" w:rsidRPr="00A4543F">
        <w:rPr>
          <w:sz w:val="22"/>
        </w:rPr>
        <w:t xml:space="preserve"> – </w:t>
      </w:r>
      <w:r w:rsidR="00D57579" w:rsidRPr="00A4543F">
        <w:rPr>
          <w:sz w:val="22"/>
        </w:rPr>
        <w:tab/>
        <w:t>normālās aktiv</w:t>
      </w:r>
      <w:r w:rsidR="002E722C">
        <w:rPr>
          <w:sz w:val="22"/>
        </w:rPr>
        <w:t>iz</w:t>
      </w:r>
      <w:r w:rsidR="00D57579" w:rsidRPr="00A4543F">
        <w:rPr>
          <w:sz w:val="22"/>
        </w:rPr>
        <w:t xml:space="preserve">ācijas </w:t>
      </w:r>
      <w:r w:rsidR="002E722C" w:rsidRPr="00A4543F">
        <w:rPr>
          <w:sz w:val="22"/>
        </w:rPr>
        <w:t>margināla</w:t>
      </w:r>
      <w:r w:rsidR="00D57579" w:rsidRPr="00A4543F">
        <w:rPr>
          <w:sz w:val="22"/>
        </w:rPr>
        <w:t xml:space="preserve"> cena </w:t>
      </w:r>
      <w:r w:rsidR="002E722C">
        <w:rPr>
          <w:sz w:val="22"/>
        </w:rPr>
        <w:t xml:space="preserve">regulēšanas enerģijai </w:t>
      </w:r>
      <w:r w:rsidR="00D57579" w:rsidRPr="00A4543F">
        <w:rPr>
          <w:sz w:val="22"/>
        </w:rPr>
        <w:t xml:space="preserve">augšupvērstai </w:t>
      </w:r>
      <w:r w:rsidR="00D57579">
        <w:rPr>
          <w:sz w:val="22"/>
        </w:rPr>
        <w:t>aktivizācijai</w:t>
      </w:r>
      <w:r w:rsidR="00D57579" w:rsidRPr="00A4543F">
        <w:rPr>
          <w:sz w:val="22"/>
        </w:rPr>
        <w:t xml:space="preserve"> tirdzniecības intervālā</w:t>
      </w:r>
      <w:r w:rsidR="00EA12DF">
        <w:rPr>
          <w:sz w:val="22"/>
        </w:rPr>
        <w:t xml:space="preserve"> </w:t>
      </w:r>
      <w:r w:rsidR="00EA12DF" w:rsidRPr="007F244A">
        <w:rPr>
          <w:i/>
          <w:sz w:val="22"/>
        </w:rPr>
        <w:t>t</w:t>
      </w:r>
      <w:r w:rsidR="002E722C">
        <w:rPr>
          <w:i/>
          <w:sz w:val="22"/>
        </w:rPr>
        <w:t xml:space="preserve"> </w:t>
      </w:r>
      <w:r w:rsidR="002E722C" w:rsidRPr="002E722C">
        <w:rPr>
          <w:sz w:val="22"/>
        </w:rPr>
        <w:t>(EUR/ MWh)</w:t>
      </w:r>
      <w:r w:rsidR="00D57579" w:rsidRPr="00A4543F">
        <w:rPr>
          <w:sz w:val="22"/>
        </w:rPr>
        <w:t>;</w:t>
      </w:r>
    </w:p>
    <w:p w14:paraId="751D4C12" w14:textId="06C7E516" w:rsidR="00D57579" w:rsidRPr="00A4543F" w:rsidRDefault="002B7C4A" w:rsidP="00D57579">
      <w:pPr>
        <w:tabs>
          <w:tab w:val="left" w:pos="851"/>
          <w:tab w:val="left" w:pos="993"/>
          <w:tab w:val="left" w:pos="1276"/>
        </w:tabs>
        <w:spacing w:after="180"/>
        <w:ind w:left="1276" w:hanging="992"/>
        <w:contextualSpacing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regsa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n</m:t>
                </m:r>
              </m:sub>
            </m:sSub>
          </m:sub>
        </m:sSub>
      </m:oMath>
      <w:r w:rsidR="00D57579" w:rsidRPr="00A4543F">
        <w:rPr>
          <w:sz w:val="22"/>
        </w:rPr>
        <w:t xml:space="preserve"> – </w:t>
      </w:r>
      <w:r w:rsidR="00D57579" w:rsidRPr="00A4543F">
        <w:rPr>
          <w:sz w:val="22"/>
        </w:rPr>
        <w:tab/>
        <w:t xml:space="preserve">regulēšanas pakalpojuma ietvaros PSO pirktās un RPS pārdotās enerģijas apjoms, kas aktivizēts veicot speciālo aktivizāciju </w:t>
      </w:r>
      <w:r w:rsidR="00EA12DF">
        <w:rPr>
          <w:sz w:val="22"/>
        </w:rPr>
        <w:t xml:space="preserve">speciālās </w:t>
      </w:r>
      <w:r w:rsidR="00D57579" w:rsidRPr="00A4543F">
        <w:rPr>
          <w:sz w:val="22"/>
        </w:rPr>
        <w:t>aktivizācijas reizē</w:t>
      </w:r>
      <w:r w:rsidR="00EA12DF">
        <w:rPr>
          <w:sz w:val="22"/>
        </w:rPr>
        <w:t xml:space="preserve"> </w:t>
      </w:r>
      <w:r w:rsidR="00EA12DF" w:rsidRPr="007F244A">
        <w:rPr>
          <w:i/>
          <w:sz w:val="22"/>
        </w:rPr>
        <w:t>n</w:t>
      </w:r>
      <w:r w:rsidR="002E722C">
        <w:rPr>
          <w:i/>
          <w:sz w:val="22"/>
        </w:rPr>
        <w:t xml:space="preserve"> </w:t>
      </w:r>
      <w:r w:rsidR="002E722C" w:rsidRPr="002E722C">
        <w:rPr>
          <w:sz w:val="22"/>
        </w:rPr>
        <w:t>(MWh)</w:t>
      </w:r>
      <w:r w:rsidR="00D57579" w:rsidRPr="00A4543F">
        <w:rPr>
          <w:sz w:val="22"/>
        </w:rPr>
        <w:t>;</w:t>
      </w:r>
    </w:p>
    <w:p w14:paraId="7FFC3CD4" w14:textId="3412C225" w:rsidR="00D57579" w:rsidRPr="00A4543F" w:rsidRDefault="002B7C4A" w:rsidP="00D57579">
      <w:pPr>
        <w:tabs>
          <w:tab w:val="left" w:pos="993"/>
          <w:tab w:val="left" w:pos="1276"/>
        </w:tabs>
        <w:spacing w:after="180"/>
        <w:ind w:left="1276" w:hanging="992"/>
        <w:contextualSpacing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regs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n</m:t>
                </m:r>
              </m:sub>
            </m:sSub>
          </m:sub>
        </m:sSub>
      </m:oMath>
      <w:r w:rsidR="00D57579">
        <w:rPr>
          <w:sz w:val="22"/>
        </w:rPr>
        <w:tab/>
        <w:t>–</w:t>
      </w:r>
      <w:r w:rsidR="00D57579">
        <w:rPr>
          <w:sz w:val="22"/>
        </w:rPr>
        <w:tab/>
      </w:r>
      <w:r w:rsidR="00D57579" w:rsidRPr="00A4543F">
        <w:rPr>
          <w:sz w:val="22"/>
        </w:rPr>
        <w:t>RPS aktivizētā solījuma cena, kas vienāda ar RPS solījumā noteikto cenu</w:t>
      </w:r>
      <w:r w:rsidR="00EA12DF">
        <w:rPr>
          <w:sz w:val="22"/>
        </w:rPr>
        <w:t xml:space="preserve"> speciālās </w:t>
      </w:r>
      <w:r w:rsidR="00EA12DF" w:rsidRPr="00A4543F">
        <w:rPr>
          <w:sz w:val="22"/>
        </w:rPr>
        <w:t>aktivizācijas reizē</w:t>
      </w:r>
      <w:r w:rsidR="00EA12DF">
        <w:rPr>
          <w:sz w:val="22"/>
        </w:rPr>
        <w:t xml:space="preserve"> </w:t>
      </w:r>
      <w:r w:rsidR="00EA12DF" w:rsidRPr="007F244A">
        <w:rPr>
          <w:i/>
          <w:sz w:val="22"/>
        </w:rPr>
        <w:t>n</w:t>
      </w:r>
      <w:r w:rsidR="002E722C">
        <w:rPr>
          <w:i/>
          <w:sz w:val="22"/>
        </w:rPr>
        <w:t xml:space="preserve"> </w:t>
      </w:r>
      <w:r w:rsidR="002E722C" w:rsidRPr="002E722C">
        <w:rPr>
          <w:sz w:val="22"/>
        </w:rPr>
        <w:t>(EUR/ MWh)</w:t>
      </w:r>
      <w:r w:rsidR="00D57579" w:rsidRPr="00A4543F">
        <w:rPr>
          <w:sz w:val="22"/>
        </w:rPr>
        <w:t>;</w:t>
      </w:r>
    </w:p>
    <w:p w14:paraId="0AB69F9C" w14:textId="77777777" w:rsidR="00D57579" w:rsidRPr="00EA12DF" w:rsidRDefault="00D57579" w:rsidP="00D57579">
      <w:pPr>
        <w:tabs>
          <w:tab w:val="left" w:pos="993"/>
          <w:tab w:val="left" w:pos="1276"/>
        </w:tabs>
        <w:spacing w:after="180"/>
        <w:ind w:left="1276" w:hanging="992"/>
        <w:contextualSpacing/>
        <w:jc w:val="both"/>
        <w:rPr>
          <w:sz w:val="22"/>
        </w:rPr>
      </w:pPr>
      <w:r w:rsidRPr="007F244A">
        <w:rPr>
          <w:i/>
          <w:sz w:val="22"/>
        </w:rPr>
        <w:t>T</w:t>
      </w:r>
      <w:r w:rsidRPr="00EA12DF">
        <w:rPr>
          <w:sz w:val="22"/>
        </w:rPr>
        <w:tab/>
        <w:t>–</w:t>
      </w:r>
      <w:r w:rsidRPr="00EA12DF">
        <w:rPr>
          <w:sz w:val="22"/>
        </w:rPr>
        <w:tab/>
        <w:t>tirdzniecības intervālu skaits attiecīgajā norēķinu periodā;</w:t>
      </w:r>
    </w:p>
    <w:p w14:paraId="1B15CA43" w14:textId="3DAC2275" w:rsidR="00D57579" w:rsidRPr="00A4543F" w:rsidRDefault="00D57579" w:rsidP="00D57579">
      <w:pPr>
        <w:tabs>
          <w:tab w:val="left" w:pos="993"/>
          <w:tab w:val="left" w:pos="1276"/>
        </w:tabs>
        <w:spacing w:after="180"/>
        <w:ind w:left="1276" w:hanging="992"/>
        <w:contextualSpacing/>
        <w:jc w:val="both"/>
        <w:rPr>
          <w:sz w:val="22"/>
        </w:rPr>
      </w:pPr>
      <w:r w:rsidRPr="007F244A">
        <w:rPr>
          <w:i/>
          <w:sz w:val="22"/>
        </w:rPr>
        <w:t>t</w:t>
      </w:r>
      <w:r>
        <w:rPr>
          <w:sz w:val="22"/>
        </w:rPr>
        <w:tab/>
      </w:r>
      <w:r w:rsidRPr="00A4543F">
        <w:rPr>
          <w:sz w:val="22"/>
        </w:rPr>
        <w:t xml:space="preserve">– </w:t>
      </w:r>
      <w:r w:rsidRPr="00A4543F">
        <w:rPr>
          <w:sz w:val="22"/>
        </w:rPr>
        <w:tab/>
        <w:t>tirdzniecības intervāls</w:t>
      </w:r>
      <w:r>
        <w:rPr>
          <w:sz w:val="22"/>
        </w:rPr>
        <w:t>;</w:t>
      </w:r>
    </w:p>
    <w:p w14:paraId="2DFD34B9" w14:textId="77777777" w:rsidR="00D57579" w:rsidRPr="00A4543F" w:rsidRDefault="00D57579" w:rsidP="00D57579">
      <w:pPr>
        <w:tabs>
          <w:tab w:val="left" w:pos="993"/>
          <w:tab w:val="left" w:pos="1276"/>
        </w:tabs>
        <w:spacing w:after="180"/>
        <w:ind w:left="1276" w:hanging="992"/>
        <w:contextualSpacing/>
        <w:jc w:val="both"/>
        <w:rPr>
          <w:sz w:val="22"/>
        </w:rPr>
      </w:pPr>
      <w:r w:rsidRPr="007F244A">
        <w:rPr>
          <w:i/>
          <w:sz w:val="22"/>
        </w:rPr>
        <w:t>N</w:t>
      </w:r>
      <w:r>
        <w:rPr>
          <w:sz w:val="22"/>
        </w:rPr>
        <w:tab/>
        <w:t>–</w:t>
      </w:r>
      <w:r>
        <w:rPr>
          <w:sz w:val="22"/>
        </w:rPr>
        <w:tab/>
      </w:r>
      <w:r w:rsidRPr="00A4543F">
        <w:rPr>
          <w:sz w:val="22"/>
        </w:rPr>
        <w:t>speciālās aktivizācijas reižu skaits attiecīgajā norēķinu periodā</w:t>
      </w:r>
      <w:r>
        <w:rPr>
          <w:sz w:val="22"/>
        </w:rPr>
        <w:t>;</w:t>
      </w:r>
    </w:p>
    <w:p w14:paraId="65DC6284" w14:textId="29466BBE" w:rsidR="00D57579" w:rsidRPr="00A4543F" w:rsidRDefault="00D57579" w:rsidP="00D57579">
      <w:pPr>
        <w:tabs>
          <w:tab w:val="left" w:pos="993"/>
          <w:tab w:val="left" w:pos="1276"/>
        </w:tabs>
        <w:spacing w:after="180"/>
        <w:ind w:left="1276" w:hanging="992"/>
        <w:contextualSpacing/>
        <w:jc w:val="both"/>
        <w:rPr>
          <w:sz w:val="22"/>
        </w:rPr>
      </w:pPr>
      <w:r w:rsidRPr="007F244A">
        <w:rPr>
          <w:i/>
          <w:sz w:val="22"/>
        </w:rPr>
        <w:t>n</w:t>
      </w:r>
      <w:r>
        <w:rPr>
          <w:sz w:val="22"/>
        </w:rPr>
        <w:tab/>
      </w:r>
      <w:r w:rsidRPr="00A4543F">
        <w:rPr>
          <w:sz w:val="22"/>
        </w:rPr>
        <w:t xml:space="preserve">– </w:t>
      </w:r>
      <w:r w:rsidRPr="00A4543F">
        <w:rPr>
          <w:sz w:val="22"/>
        </w:rPr>
        <w:tab/>
      </w:r>
      <w:r w:rsidR="00E52767">
        <w:rPr>
          <w:sz w:val="22"/>
        </w:rPr>
        <w:t>speciālā regulēšanas produkta solījuma aktivizēšana.</w:t>
      </w:r>
    </w:p>
    <w:p w14:paraId="52BC3C77" w14:textId="55E7D98A" w:rsidR="00D57579" w:rsidRPr="00A4543F" w:rsidRDefault="007F244A" w:rsidP="00D57579">
      <w:pPr>
        <w:pStyle w:val="ListParagraph"/>
        <w:numPr>
          <w:ilvl w:val="1"/>
          <w:numId w:val="4"/>
        </w:numPr>
        <w:spacing w:after="180"/>
        <w:ind w:left="567" w:hanging="567"/>
        <w:jc w:val="both"/>
        <w:rPr>
          <w:sz w:val="22"/>
        </w:rPr>
      </w:pPr>
      <w:r>
        <w:rPr>
          <w:sz w:val="22"/>
        </w:rPr>
        <w:t xml:space="preserve">Regulēšanas pakalpojuma maksu  par </w:t>
      </w:r>
      <w:r w:rsidR="00D57579" w:rsidRPr="00A4543F">
        <w:rPr>
          <w:sz w:val="22"/>
        </w:rPr>
        <w:t>PSO pārdoto un RPS nopirkto regulēšanas enerģiju (regulēšanu uz atslodzi) konkrētā norēķinu periodā PSO nosaka:</w:t>
      </w:r>
    </w:p>
    <w:p w14:paraId="1A688B42" w14:textId="2B94BE94" w:rsidR="00D57579" w:rsidRPr="00A4543F" w:rsidRDefault="002B7C4A" w:rsidP="00D57579">
      <w:pPr>
        <w:pStyle w:val="ListParagraph"/>
        <w:spacing w:after="180"/>
        <w:ind w:left="360"/>
        <w:jc w:val="center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M</m:t>
            </m:r>
          </m:e>
          <m:sub>
            <m:r>
              <w:rPr>
                <w:rFonts w:ascii="Cambria Math" w:hAnsi="Cambria Math"/>
                <w:sz w:val="22"/>
              </w:rPr>
              <m:t>regl</m:t>
            </m:r>
          </m:sub>
        </m:sSub>
        <m:r>
          <w:rPr>
            <w:rFonts w:ascii="Cambria Math" w:eastAsia="Cambria Math" w:hAnsi="Cambria Math"/>
            <w:sz w:val="22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 w:val="22"/>
              </w:rPr>
            </m:ctrlPr>
          </m:naryPr>
          <m:sub>
            <m:r>
              <w:rPr>
                <w:rFonts w:ascii="Cambria Math" w:eastAsia="Cambria Math" w:hAnsi="Cambria Math"/>
                <w:sz w:val="22"/>
              </w:rPr>
              <m:t>t=1</m:t>
            </m:r>
          </m:sub>
          <m:sup>
            <m:r>
              <w:rPr>
                <w:rFonts w:ascii="Cambria Math" w:eastAsia="Cambria Math" w:hAnsi="Cambria Math"/>
                <w:sz w:val="22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(E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</w:rPr>
                      <m:t>regnl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t</m:t>
                    </m:r>
                  </m:sub>
                </m:sSub>
              </m:sub>
            </m:sSub>
            <m:r>
              <w:rPr>
                <w:rFonts w:ascii="Cambria Math" w:hAnsi="Cambria Math"/>
                <w:sz w:val="22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C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</w:rPr>
                      <m:t>regnl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t</m:t>
                    </m:r>
                  </m:sub>
                </m:sSub>
              </m:sub>
            </m:sSub>
            <m:r>
              <w:rPr>
                <w:rFonts w:ascii="Cambria Math" w:hAnsi="Cambria Math"/>
                <w:sz w:val="22"/>
              </w:rPr>
              <m:t>)+</m:t>
            </m:r>
          </m:e>
        </m:nary>
        <m:nary>
          <m:naryPr>
            <m:chr m:val="∑"/>
            <m:grow m:val="1"/>
            <m:ctrlPr>
              <w:rPr>
                <w:rFonts w:ascii="Cambria Math" w:hAnsi="Cambria Math"/>
                <w:sz w:val="22"/>
              </w:rPr>
            </m:ctrlPr>
          </m:naryPr>
          <m:sub>
            <m:r>
              <w:rPr>
                <w:rFonts w:ascii="Cambria Math" w:eastAsia="Cambria Math" w:hAnsi="Cambria Math"/>
                <w:sz w:val="22"/>
              </w:rPr>
              <m:t>n=1</m:t>
            </m:r>
          </m:sub>
          <m:sup>
            <m:r>
              <w:rPr>
                <w:rFonts w:ascii="Cambria Math" w:eastAsia="Cambria Math" w:hAnsi="Cambria Math"/>
                <w:sz w:val="2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(E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</w:rPr>
                      <m:t>regsl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b>
                </m:sSub>
              </m:sub>
            </m:sSub>
            <m:r>
              <w:rPr>
                <w:rFonts w:ascii="Cambria Math" w:hAnsi="Cambria Math"/>
                <w:sz w:val="22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C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</w:rPr>
                      <m:t>regs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b>
                </m:sSub>
              </m:sub>
            </m:sSub>
            <m:r>
              <w:rPr>
                <w:rFonts w:ascii="Cambria Math" w:hAnsi="Cambria Math"/>
                <w:sz w:val="22"/>
              </w:rPr>
              <m:t>)</m:t>
            </m:r>
          </m:e>
        </m:nary>
      </m:oMath>
      <w:r w:rsidR="00D57579" w:rsidRPr="00A4543F">
        <w:rPr>
          <w:sz w:val="22"/>
        </w:rPr>
        <w:t>, kur</w:t>
      </w:r>
    </w:p>
    <w:p w14:paraId="37B31747" w14:textId="2D767E68" w:rsidR="00D57579" w:rsidRPr="00A4543F" w:rsidRDefault="002B7C4A" w:rsidP="00D57579">
      <w:pPr>
        <w:tabs>
          <w:tab w:val="left" w:pos="993"/>
          <w:tab w:val="left" w:pos="1276"/>
        </w:tabs>
        <w:spacing w:after="180"/>
        <w:ind w:left="1276" w:hanging="993"/>
        <w:contextualSpacing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M</m:t>
            </m:r>
          </m:e>
          <m:sub>
            <m:r>
              <w:rPr>
                <w:rFonts w:ascii="Cambria Math" w:hAnsi="Cambria Math"/>
                <w:sz w:val="22"/>
              </w:rPr>
              <m:t>regl</m:t>
            </m:r>
          </m:sub>
        </m:sSub>
      </m:oMath>
      <w:r w:rsidR="00D57579">
        <w:rPr>
          <w:sz w:val="22"/>
        </w:rPr>
        <w:tab/>
        <w:t>–</w:t>
      </w:r>
      <w:r w:rsidR="00D57579">
        <w:rPr>
          <w:sz w:val="22"/>
        </w:rPr>
        <w:tab/>
      </w:r>
      <w:r w:rsidR="002E722C">
        <w:rPr>
          <w:sz w:val="22"/>
        </w:rPr>
        <w:t xml:space="preserve">regulēšanas pakalpojuma </w:t>
      </w:r>
      <w:r w:rsidR="00D57579" w:rsidRPr="00A4543F">
        <w:rPr>
          <w:sz w:val="22"/>
        </w:rPr>
        <w:t>maksa par PSO pārdoto un RPS nopirkto regulēšanas elektroenerģiju</w:t>
      </w:r>
      <w:r w:rsidR="002E722C">
        <w:rPr>
          <w:sz w:val="22"/>
        </w:rPr>
        <w:t xml:space="preserve"> (EUR)</w:t>
      </w:r>
      <w:r w:rsidR="00D57579" w:rsidRPr="00A4543F">
        <w:rPr>
          <w:sz w:val="22"/>
        </w:rPr>
        <w:t>;</w:t>
      </w:r>
    </w:p>
    <w:p w14:paraId="6C90D063" w14:textId="045FED8A" w:rsidR="00D57579" w:rsidRPr="00A4543F" w:rsidRDefault="002B7C4A" w:rsidP="00D57579">
      <w:pPr>
        <w:tabs>
          <w:tab w:val="left" w:pos="993"/>
          <w:tab w:val="left" w:pos="1276"/>
        </w:tabs>
        <w:spacing w:after="180"/>
        <w:ind w:left="1276" w:hanging="993"/>
        <w:contextualSpacing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regnl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t</m:t>
                </m:r>
              </m:sub>
            </m:sSub>
          </m:sub>
        </m:sSub>
      </m:oMath>
      <w:r w:rsidR="00D57579">
        <w:rPr>
          <w:sz w:val="22"/>
        </w:rPr>
        <w:tab/>
        <w:t>–</w:t>
      </w:r>
      <w:r w:rsidR="00D57579">
        <w:rPr>
          <w:sz w:val="22"/>
        </w:rPr>
        <w:tab/>
      </w:r>
      <w:r w:rsidR="00D57579" w:rsidRPr="00A4543F">
        <w:rPr>
          <w:sz w:val="22"/>
        </w:rPr>
        <w:t xml:space="preserve">regulēšanas pakalpojuma ietvaros PSO pārdotās un RPS pirktās elektroenerģijas apjoms, </w:t>
      </w:r>
      <w:r w:rsidR="00C62547" w:rsidRPr="00A4543F">
        <w:rPr>
          <w:sz w:val="22"/>
        </w:rPr>
        <w:t>kas</w:t>
      </w:r>
      <w:r w:rsidR="00C62547">
        <w:rPr>
          <w:sz w:val="22"/>
        </w:rPr>
        <w:t xml:space="preserve"> piegādāts</w:t>
      </w:r>
      <w:r w:rsidR="00C62547" w:rsidRPr="00A4543F">
        <w:rPr>
          <w:sz w:val="22"/>
        </w:rPr>
        <w:t xml:space="preserve"> </w:t>
      </w:r>
      <w:r w:rsidR="00C62547">
        <w:rPr>
          <w:sz w:val="22"/>
        </w:rPr>
        <w:t xml:space="preserve">lejupvērsti </w:t>
      </w:r>
      <w:r w:rsidR="00C62547" w:rsidRPr="00A4543F">
        <w:rPr>
          <w:sz w:val="22"/>
        </w:rPr>
        <w:t xml:space="preserve">veicot normālo </w:t>
      </w:r>
      <w:r w:rsidR="00C62547">
        <w:rPr>
          <w:sz w:val="22"/>
        </w:rPr>
        <w:t xml:space="preserve">solījuma </w:t>
      </w:r>
      <w:r w:rsidR="00C62547" w:rsidRPr="00A4543F">
        <w:rPr>
          <w:sz w:val="22"/>
        </w:rPr>
        <w:t xml:space="preserve">aktivizāciju </w:t>
      </w:r>
      <w:r w:rsidR="00D57579" w:rsidRPr="00A4543F">
        <w:rPr>
          <w:sz w:val="22"/>
        </w:rPr>
        <w:t>tirdzniecības intervālā</w:t>
      </w:r>
      <w:r w:rsidR="00392C25">
        <w:rPr>
          <w:sz w:val="22"/>
        </w:rPr>
        <w:t xml:space="preserve"> </w:t>
      </w:r>
      <w:r w:rsidR="00392C25" w:rsidRPr="002E722C">
        <w:rPr>
          <w:i/>
          <w:sz w:val="22"/>
        </w:rPr>
        <w:t>t</w:t>
      </w:r>
      <w:r w:rsidR="002E722C">
        <w:rPr>
          <w:i/>
          <w:sz w:val="22"/>
        </w:rPr>
        <w:t xml:space="preserve"> </w:t>
      </w:r>
      <w:r w:rsidR="002E722C" w:rsidRPr="002E722C">
        <w:rPr>
          <w:sz w:val="22"/>
        </w:rPr>
        <w:t>(MWh)</w:t>
      </w:r>
      <w:r w:rsidR="00D57579" w:rsidRPr="00A4543F">
        <w:rPr>
          <w:sz w:val="22"/>
        </w:rPr>
        <w:t>;</w:t>
      </w:r>
    </w:p>
    <w:p w14:paraId="0A975EC1" w14:textId="6F287C54" w:rsidR="00D57579" w:rsidRPr="00A4543F" w:rsidRDefault="002B7C4A" w:rsidP="00D57579">
      <w:pPr>
        <w:tabs>
          <w:tab w:val="left" w:pos="993"/>
          <w:tab w:val="left" w:pos="1276"/>
        </w:tabs>
        <w:spacing w:after="180"/>
        <w:ind w:left="1276" w:hanging="993"/>
        <w:contextualSpacing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regnl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t</m:t>
                </m:r>
              </m:sub>
            </m:sSub>
          </m:sub>
        </m:sSub>
      </m:oMath>
      <w:r w:rsidR="00D57579">
        <w:rPr>
          <w:sz w:val="22"/>
        </w:rPr>
        <w:tab/>
      </w:r>
      <w:r w:rsidR="00D57579" w:rsidRPr="00A4543F">
        <w:rPr>
          <w:sz w:val="22"/>
        </w:rPr>
        <w:t>–</w:t>
      </w:r>
      <w:r w:rsidR="00D57579">
        <w:rPr>
          <w:sz w:val="22"/>
        </w:rPr>
        <w:tab/>
      </w:r>
      <w:r w:rsidR="00D57579" w:rsidRPr="00A4543F">
        <w:rPr>
          <w:sz w:val="22"/>
        </w:rPr>
        <w:t xml:space="preserve">normālās aktivācijas margināla cena lejupvērstai </w:t>
      </w:r>
      <w:r w:rsidR="00D57579">
        <w:rPr>
          <w:sz w:val="22"/>
        </w:rPr>
        <w:t xml:space="preserve">aktivizācijai </w:t>
      </w:r>
      <w:r w:rsidR="00D57579" w:rsidRPr="00A4543F">
        <w:rPr>
          <w:sz w:val="22"/>
        </w:rPr>
        <w:t>tirdzniecības intervālā</w:t>
      </w:r>
      <w:r w:rsidR="00392C25">
        <w:rPr>
          <w:sz w:val="22"/>
        </w:rPr>
        <w:t xml:space="preserve"> </w:t>
      </w:r>
      <w:r w:rsidR="00392C25" w:rsidRPr="002E722C">
        <w:rPr>
          <w:i/>
          <w:sz w:val="22"/>
        </w:rPr>
        <w:t>t</w:t>
      </w:r>
      <w:r w:rsidR="002E722C">
        <w:rPr>
          <w:i/>
          <w:sz w:val="22"/>
        </w:rPr>
        <w:t xml:space="preserve"> </w:t>
      </w:r>
      <w:r w:rsidR="002E722C" w:rsidRPr="002E722C">
        <w:rPr>
          <w:sz w:val="22"/>
        </w:rPr>
        <w:t>(EUR/ MWh)</w:t>
      </w:r>
      <w:r w:rsidR="00D57579" w:rsidRPr="00A4543F">
        <w:rPr>
          <w:sz w:val="22"/>
        </w:rPr>
        <w:t>;</w:t>
      </w:r>
    </w:p>
    <w:p w14:paraId="6C1ABE18" w14:textId="7F36A15E" w:rsidR="00D57579" w:rsidRDefault="002B7C4A" w:rsidP="00D57579">
      <w:pPr>
        <w:tabs>
          <w:tab w:val="left" w:pos="993"/>
          <w:tab w:val="left" w:pos="1276"/>
        </w:tabs>
        <w:spacing w:after="180"/>
        <w:ind w:left="1276" w:hanging="993"/>
        <w:contextualSpacing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regsl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n</m:t>
                </m:r>
              </m:sub>
            </m:sSub>
          </m:sub>
        </m:sSub>
      </m:oMath>
      <w:r w:rsidR="00D57579">
        <w:rPr>
          <w:sz w:val="22"/>
        </w:rPr>
        <w:tab/>
        <w:t>–</w:t>
      </w:r>
      <w:r w:rsidR="00D57579">
        <w:rPr>
          <w:sz w:val="22"/>
        </w:rPr>
        <w:tab/>
      </w:r>
      <w:r w:rsidR="00D57579" w:rsidRPr="00A4543F">
        <w:rPr>
          <w:sz w:val="22"/>
        </w:rPr>
        <w:t xml:space="preserve">regulēšanas pakalpojuma ietvaros PSO pārdotās un RPS pirktās elektroenerģijas apjoms, kas aktivizēts veicot speciālo aktivizāciju </w:t>
      </w:r>
      <w:r w:rsidR="00392C25">
        <w:rPr>
          <w:sz w:val="22"/>
        </w:rPr>
        <w:t xml:space="preserve">speciālās </w:t>
      </w:r>
      <w:r w:rsidR="00D57579" w:rsidRPr="00A4543F">
        <w:rPr>
          <w:sz w:val="22"/>
        </w:rPr>
        <w:t>aktivizācijas reizē</w:t>
      </w:r>
      <w:r w:rsidR="00392C25">
        <w:rPr>
          <w:sz w:val="22"/>
        </w:rPr>
        <w:t xml:space="preserve"> </w:t>
      </w:r>
      <w:r w:rsidR="00392C25" w:rsidRPr="002E722C">
        <w:rPr>
          <w:i/>
          <w:sz w:val="22"/>
        </w:rPr>
        <w:t>n</w:t>
      </w:r>
      <w:r w:rsidR="002E722C">
        <w:rPr>
          <w:i/>
          <w:sz w:val="22"/>
        </w:rPr>
        <w:t xml:space="preserve"> </w:t>
      </w:r>
      <w:r w:rsidR="002E722C" w:rsidRPr="002E722C">
        <w:rPr>
          <w:sz w:val="22"/>
        </w:rPr>
        <w:t>(MW</w:t>
      </w:r>
      <w:r w:rsidR="002E722C">
        <w:rPr>
          <w:sz w:val="22"/>
        </w:rPr>
        <w:t>h</w:t>
      </w:r>
      <w:r w:rsidR="002E722C" w:rsidRPr="002E722C">
        <w:rPr>
          <w:sz w:val="22"/>
        </w:rPr>
        <w:t>)</w:t>
      </w:r>
      <w:r w:rsidR="00D57579" w:rsidRPr="00A4543F">
        <w:rPr>
          <w:sz w:val="22"/>
        </w:rPr>
        <w:t>.</w:t>
      </w:r>
    </w:p>
    <w:p w14:paraId="58FB9075" w14:textId="05700EA6" w:rsidR="00D57579" w:rsidRDefault="00D57579" w:rsidP="00D57579">
      <w:pPr>
        <w:pStyle w:val="ListParagraph"/>
        <w:numPr>
          <w:ilvl w:val="1"/>
          <w:numId w:val="4"/>
        </w:numPr>
        <w:tabs>
          <w:tab w:val="left" w:pos="709"/>
          <w:tab w:val="left" w:pos="993"/>
        </w:tabs>
        <w:spacing w:after="180"/>
        <w:ind w:left="567" w:hanging="567"/>
        <w:jc w:val="both"/>
        <w:rPr>
          <w:sz w:val="22"/>
        </w:rPr>
      </w:pPr>
      <w:r w:rsidRPr="00D42A34">
        <w:rPr>
          <w:sz w:val="22"/>
        </w:rPr>
        <w:t>Regulēšanas pakalpojuma ietvaros</w:t>
      </w:r>
      <w:r w:rsidR="007B257C">
        <w:rPr>
          <w:sz w:val="22"/>
        </w:rPr>
        <w:t xml:space="preserve"> </w:t>
      </w:r>
      <w:r w:rsidR="00C62547">
        <w:rPr>
          <w:sz w:val="22"/>
        </w:rPr>
        <w:t>PSO pirktās vai pārdotās</w:t>
      </w:r>
      <w:r w:rsidRPr="00D42A34">
        <w:rPr>
          <w:sz w:val="22"/>
        </w:rPr>
        <w:t xml:space="preserve"> enerģijas apjomu,</w:t>
      </w:r>
      <w:r>
        <w:rPr>
          <w:sz w:val="22"/>
        </w:rPr>
        <w:t xml:space="preserve"> konkrētā tirdzniecības intervālā,</w:t>
      </w:r>
      <w:r w:rsidRPr="00D42A34">
        <w:rPr>
          <w:sz w:val="22"/>
        </w:rPr>
        <w:t xml:space="preserve"> kas </w:t>
      </w:r>
      <w:r>
        <w:rPr>
          <w:sz w:val="22"/>
        </w:rPr>
        <w:t>piegādāts</w:t>
      </w:r>
      <w:r w:rsidRPr="00D42A34">
        <w:rPr>
          <w:sz w:val="22"/>
        </w:rPr>
        <w:t xml:space="preserve"> veicot normālo aktivizāciju (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regna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t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2"/>
          </w:rPr>
          <m:t>,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regnl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t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2"/>
          </w:rPr>
          <m:t>)</m:t>
        </m:r>
      </m:oMath>
      <w:r w:rsidRPr="00D42A34">
        <w:rPr>
          <w:sz w:val="22"/>
        </w:rPr>
        <w:t xml:space="preserve"> tiek noteikts sekojoši:</w:t>
      </w:r>
    </w:p>
    <w:p w14:paraId="28A2760F" w14:textId="77777777" w:rsidR="00A13CCA" w:rsidRDefault="002B7C4A" w:rsidP="00A13CCA">
      <w:pPr>
        <w:tabs>
          <w:tab w:val="left" w:pos="709"/>
          <w:tab w:val="left" w:pos="993"/>
        </w:tabs>
        <w:spacing w:after="180"/>
        <w:jc w:val="center"/>
        <w:rPr>
          <w:sz w:val="22"/>
        </w:rPr>
      </w:pP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regna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t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2"/>
          </w:rPr>
          <m:t xml:space="preserve">, 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regnl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t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2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2"/>
              </w:rPr>
            </m:ctrlPr>
          </m:naryPr>
          <m:sub>
            <m:r>
              <w:rPr>
                <w:rFonts w:ascii="Cambria Math" w:hAnsi="Cambria Math"/>
                <w:sz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2"/>
              </w:rPr>
              <m:t>=1</m:t>
            </m:r>
          </m:sub>
          <m:sup>
            <m:r>
              <w:rPr>
                <w:rFonts w:ascii="Cambria Math" w:hAnsi="Cambria Math"/>
                <w:sz w:val="22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</w:rPr>
                      <m:t>regn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a</m:t>
                    </m:r>
                  </m:sub>
                </m:sSub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h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</w:rPr>
                      <m:t>regn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a</m:t>
                    </m:r>
                  </m:sub>
                </m:sSub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</w:rPr>
              <m:t>)</m:t>
            </m:r>
          </m:e>
        </m:nary>
      </m:oMath>
      <w:r w:rsidR="00D57579" w:rsidRPr="00E52767">
        <w:rPr>
          <w:sz w:val="22"/>
        </w:rPr>
        <w:t>, kur</w:t>
      </w:r>
    </w:p>
    <w:p w14:paraId="6BFE5D7B" w14:textId="27CC03D3" w:rsidR="00A13CCA" w:rsidRDefault="002B7C4A" w:rsidP="00A13CCA">
      <w:pPr>
        <w:tabs>
          <w:tab w:val="left" w:pos="1276"/>
          <w:tab w:val="left" w:pos="1560"/>
        </w:tabs>
        <w:spacing w:after="180"/>
        <w:ind w:left="1560" w:hanging="993"/>
        <w:contextualSpacing/>
        <w:rPr>
          <w:sz w:val="22"/>
        </w:rPr>
      </w:pP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regn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a</m:t>
                </m:r>
              </m:sub>
            </m:sSub>
          </m:sub>
        </m:sSub>
      </m:oMath>
      <w:r w:rsidR="00A13CCA">
        <w:rPr>
          <w:sz w:val="22"/>
        </w:rPr>
        <w:tab/>
        <w:t>–</w:t>
      </w:r>
      <w:r w:rsidR="00A13CCA">
        <w:rPr>
          <w:sz w:val="22"/>
        </w:rPr>
        <w:tab/>
        <w:t xml:space="preserve">normālās aktivizācijas </w:t>
      </w:r>
      <w:r w:rsidR="00A13CCA" w:rsidRPr="00A4543F">
        <w:rPr>
          <w:sz w:val="22"/>
        </w:rPr>
        <w:t>dispečera komandas rīkojumā fiksēto aktivizētā solījuma jaudas apjomu (MW)</w:t>
      </w:r>
      <w:r w:rsidR="00A13CCA">
        <w:rPr>
          <w:sz w:val="22"/>
        </w:rPr>
        <w:t>;</w:t>
      </w:r>
    </w:p>
    <w:p w14:paraId="0524DECE" w14:textId="77777777" w:rsidR="00A13CCA" w:rsidRDefault="002B7C4A" w:rsidP="00A13CCA">
      <w:pPr>
        <w:tabs>
          <w:tab w:val="left" w:pos="1276"/>
          <w:tab w:val="left" w:pos="1560"/>
        </w:tabs>
        <w:spacing w:after="180"/>
        <w:ind w:left="1560" w:hanging="993"/>
        <w:contextualSpacing/>
        <w:rPr>
          <w:sz w:val="22"/>
        </w:rPr>
      </w:pP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h</m:t>
            </m:r>
          </m:e>
          <m:sub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regn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a</m:t>
                </m:r>
              </m:sub>
            </m:sSub>
          </m:sub>
        </m:sSub>
      </m:oMath>
      <w:r w:rsidR="00A13CCA">
        <w:rPr>
          <w:sz w:val="22"/>
        </w:rPr>
        <w:tab/>
        <w:t>–</w:t>
      </w:r>
      <w:r w:rsidR="00A13CCA">
        <w:rPr>
          <w:sz w:val="22"/>
        </w:rPr>
        <w:tab/>
        <w:t>normālās aktivizācijas piegādes periods</w:t>
      </w:r>
      <w:r w:rsidR="00A13CCA" w:rsidRPr="00A4543F">
        <w:rPr>
          <w:sz w:val="22"/>
        </w:rPr>
        <w:t xml:space="preserve"> stundās (no aktivizācijas sākuma laika līdz </w:t>
      </w:r>
      <w:r w:rsidR="00A13CCA">
        <w:rPr>
          <w:sz w:val="22"/>
        </w:rPr>
        <w:t>dezaktivizācijas laikam</w:t>
      </w:r>
      <w:r w:rsidR="00A13CCA" w:rsidRPr="00A4543F">
        <w:rPr>
          <w:sz w:val="22"/>
        </w:rPr>
        <w:t>)</w:t>
      </w:r>
      <w:r w:rsidR="00A13CCA">
        <w:rPr>
          <w:sz w:val="22"/>
        </w:rPr>
        <w:t xml:space="preserve"> (h);</w:t>
      </w:r>
    </w:p>
    <w:p w14:paraId="10A51CAC" w14:textId="77777777" w:rsidR="00A13CCA" w:rsidRDefault="00A13CCA" w:rsidP="00A13CCA">
      <w:pPr>
        <w:tabs>
          <w:tab w:val="left" w:pos="1276"/>
          <w:tab w:val="left" w:pos="1560"/>
        </w:tabs>
        <w:spacing w:after="180"/>
        <w:ind w:left="1560" w:hanging="993"/>
        <w:contextualSpacing/>
        <w:rPr>
          <w:sz w:val="22"/>
        </w:rPr>
      </w:pPr>
      <m:oMath>
        <m:r>
          <w:rPr>
            <w:rFonts w:ascii="Cambria Math" w:hAnsi="Cambria Math"/>
            <w:sz w:val="22"/>
          </w:rPr>
          <m:t>a</m:t>
        </m:r>
      </m:oMath>
      <w:r>
        <w:rPr>
          <w:sz w:val="22"/>
        </w:rPr>
        <w:t xml:space="preserve"> </w:t>
      </w:r>
      <w:r>
        <w:rPr>
          <w:sz w:val="22"/>
        </w:rPr>
        <w:tab/>
        <w:t xml:space="preserve">– </w:t>
      </w:r>
      <w:r>
        <w:rPr>
          <w:sz w:val="22"/>
        </w:rPr>
        <w:tab/>
        <w:t>konkrēta aktivizācija;</w:t>
      </w:r>
    </w:p>
    <w:p w14:paraId="55ABC981" w14:textId="77777777" w:rsidR="00A13CCA" w:rsidRDefault="00A13CCA" w:rsidP="00A13CCA">
      <w:pPr>
        <w:tabs>
          <w:tab w:val="left" w:pos="1276"/>
          <w:tab w:val="left" w:pos="1560"/>
        </w:tabs>
        <w:spacing w:after="180"/>
        <w:ind w:left="1560" w:hanging="993"/>
        <w:contextualSpacing/>
        <w:rPr>
          <w:sz w:val="22"/>
        </w:rPr>
      </w:pPr>
      <m:oMath>
        <m:r>
          <w:rPr>
            <w:rFonts w:ascii="Cambria Math" w:hAnsi="Cambria Math"/>
            <w:sz w:val="22"/>
          </w:rPr>
          <m:t>A</m:t>
        </m:r>
      </m:oMath>
      <w:r>
        <w:rPr>
          <w:sz w:val="22"/>
        </w:rPr>
        <w:t xml:space="preserve"> </w:t>
      </w:r>
      <w:r>
        <w:rPr>
          <w:sz w:val="22"/>
        </w:rPr>
        <w:tab/>
        <w:t xml:space="preserve">– </w:t>
      </w:r>
      <w:r>
        <w:rPr>
          <w:sz w:val="22"/>
        </w:rPr>
        <w:tab/>
        <w:t xml:space="preserve">aktivizāciju skaits tirdzniecības intervālā </w:t>
      </w:r>
      <w:r w:rsidRPr="00A13CCA">
        <w:rPr>
          <w:sz w:val="22"/>
        </w:rPr>
        <w:t>t</w:t>
      </w:r>
      <w:r>
        <w:rPr>
          <w:sz w:val="22"/>
        </w:rPr>
        <w:t>.</w:t>
      </w:r>
    </w:p>
    <w:p w14:paraId="710E3409" w14:textId="77777777" w:rsidR="00A13CCA" w:rsidRDefault="00D57579" w:rsidP="00A13CCA">
      <w:pPr>
        <w:pStyle w:val="ListParagraph"/>
        <w:numPr>
          <w:ilvl w:val="1"/>
          <w:numId w:val="4"/>
        </w:numPr>
        <w:tabs>
          <w:tab w:val="left" w:pos="709"/>
          <w:tab w:val="left" w:pos="993"/>
        </w:tabs>
        <w:spacing w:after="180"/>
        <w:rPr>
          <w:sz w:val="22"/>
        </w:rPr>
      </w:pPr>
      <w:r w:rsidRPr="00A13CCA">
        <w:rPr>
          <w:sz w:val="22"/>
        </w:rPr>
        <w:t xml:space="preserve">Regulēšanas pakalpojuma ietvaros </w:t>
      </w:r>
      <w:r w:rsidR="00C62547" w:rsidRPr="00A13CCA">
        <w:rPr>
          <w:sz w:val="22"/>
        </w:rPr>
        <w:t xml:space="preserve">PSO pirktās vai pārdotās </w:t>
      </w:r>
      <w:r w:rsidRPr="00A13CCA">
        <w:rPr>
          <w:sz w:val="22"/>
        </w:rPr>
        <w:t>enerģijas apjomu konkrēta solījuma ietveros, kas piegādāts veicot speciālo aktivizāciju (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regsa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n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2"/>
          </w:rPr>
          <m:t>,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regsl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n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2"/>
          </w:rPr>
          <m:t>)</m:t>
        </m:r>
      </m:oMath>
      <w:r w:rsidRPr="00A13CCA">
        <w:rPr>
          <w:sz w:val="22"/>
        </w:rPr>
        <w:t xml:space="preserve"> tiek noteikts sekojoši:</w:t>
      </w:r>
    </w:p>
    <w:p w14:paraId="5347A466" w14:textId="1D3E1090" w:rsidR="00A13CCA" w:rsidRDefault="002B7C4A" w:rsidP="00A13CCA">
      <w:pPr>
        <w:pStyle w:val="ListParagraph"/>
        <w:tabs>
          <w:tab w:val="left" w:pos="709"/>
          <w:tab w:val="left" w:pos="993"/>
        </w:tabs>
        <w:spacing w:after="180"/>
        <w:ind w:left="360"/>
        <w:jc w:val="center"/>
        <w:rPr>
          <w:sz w:val="22"/>
        </w:rPr>
      </w:pP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regsa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n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2"/>
          </w:rPr>
          <m:t xml:space="preserve">, 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regsl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n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2"/>
          </w:rPr>
          <m:t xml:space="preserve">= 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regs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a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2"/>
          </w:rPr>
          <m:t>×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h</m:t>
            </m:r>
          </m:e>
          <m:sub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regn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,</m:t>
                </m:r>
              </m:sub>
            </m:sSub>
          </m:sub>
        </m:sSub>
      </m:oMath>
      <w:r w:rsidR="00D57579" w:rsidRPr="00A13CCA">
        <w:rPr>
          <w:sz w:val="22"/>
        </w:rPr>
        <w:t>, kur</w:t>
      </w:r>
    </w:p>
    <w:p w14:paraId="43D13103" w14:textId="77777777" w:rsidR="00A13CCA" w:rsidRPr="00A13CCA" w:rsidRDefault="002B7C4A" w:rsidP="00A13CCA">
      <w:pPr>
        <w:pStyle w:val="ListParagraph"/>
        <w:tabs>
          <w:tab w:val="left" w:pos="1276"/>
          <w:tab w:val="left" w:pos="1560"/>
        </w:tabs>
        <w:spacing w:after="180"/>
        <w:ind w:left="1560" w:hanging="993"/>
        <w:contextualSpacing w:val="0"/>
        <w:rPr>
          <w:sz w:val="22"/>
        </w:rPr>
      </w:pP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regn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a</m:t>
                </m:r>
              </m:sub>
            </m:sSub>
          </m:sub>
        </m:sSub>
      </m:oMath>
      <w:r w:rsidR="00D57579" w:rsidRPr="00A13CCA">
        <w:rPr>
          <w:sz w:val="22"/>
        </w:rPr>
        <w:tab/>
        <w:t>–</w:t>
      </w:r>
      <w:r w:rsidR="00D57579" w:rsidRPr="00A13CCA">
        <w:rPr>
          <w:sz w:val="22"/>
        </w:rPr>
        <w:tab/>
      </w:r>
      <w:r w:rsidR="00E52767" w:rsidRPr="00A13CCA">
        <w:rPr>
          <w:sz w:val="22"/>
        </w:rPr>
        <w:t xml:space="preserve">speciālās regulēšanas produkta solījuma aktivizēšanas n </w:t>
      </w:r>
      <w:r w:rsidR="00D57579" w:rsidRPr="00A13CCA">
        <w:rPr>
          <w:sz w:val="22"/>
        </w:rPr>
        <w:t>dispečera komandas rīkojumā fiksēto aktivizētā solījuma jaudas apjomu (MW)</w:t>
      </w:r>
    </w:p>
    <w:p w14:paraId="34DE6750" w14:textId="68FCC2FC" w:rsidR="00A13CCA" w:rsidRDefault="002B7C4A" w:rsidP="00A13CCA">
      <w:pPr>
        <w:pStyle w:val="ListParagraph"/>
        <w:tabs>
          <w:tab w:val="left" w:pos="1276"/>
          <w:tab w:val="left" w:pos="1560"/>
        </w:tabs>
        <w:spacing w:after="180"/>
        <w:ind w:left="1560" w:hanging="993"/>
        <w:contextualSpacing w:val="0"/>
        <w:rPr>
          <w:sz w:val="22"/>
        </w:rPr>
      </w:pP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h</m:t>
            </m:r>
          </m:e>
          <m:sub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regn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a</m:t>
                </m:r>
              </m:sub>
            </m:sSub>
          </m:sub>
        </m:sSub>
      </m:oMath>
      <w:r w:rsidR="00D57579" w:rsidRPr="00A13CCA">
        <w:rPr>
          <w:sz w:val="22"/>
        </w:rPr>
        <w:tab/>
        <w:t>–</w:t>
      </w:r>
      <w:r w:rsidR="00D57579" w:rsidRPr="00A13CCA">
        <w:rPr>
          <w:sz w:val="22"/>
        </w:rPr>
        <w:tab/>
        <w:t xml:space="preserve">speciālās </w:t>
      </w:r>
      <w:r w:rsidR="00E52767" w:rsidRPr="00A13CCA">
        <w:rPr>
          <w:sz w:val="22"/>
        </w:rPr>
        <w:t xml:space="preserve">regulēšanas produkta solījuma </w:t>
      </w:r>
      <w:r w:rsidR="00D57579" w:rsidRPr="00A13CCA">
        <w:rPr>
          <w:sz w:val="22"/>
        </w:rPr>
        <w:t xml:space="preserve">aktivizēšanas </w:t>
      </w:r>
      <w:r w:rsidR="00E52767" w:rsidRPr="00385024">
        <w:rPr>
          <w:i/>
          <w:sz w:val="22"/>
        </w:rPr>
        <w:t>n</w:t>
      </w:r>
      <w:r w:rsidR="00E52767" w:rsidRPr="00A13CCA">
        <w:rPr>
          <w:sz w:val="22"/>
        </w:rPr>
        <w:t xml:space="preserve"> </w:t>
      </w:r>
      <w:r w:rsidR="00D57579" w:rsidRPr="00A13CCA">
        <w:rPr>
          <w:sz w:val="22"/>
        </w:rPr>
        <w:t>piegādes periods stundās (no aktivizācijas sākuma laika līdz de</w:t>
      </w:r>
      <w:r w:rsidR="007F244A" w:rsidRPr="00A13CCA">
        <w:rPr>
          <w:sz w:val="22"/>
        </w:rPr>
        <w:t>z</w:t>
      </w:r>
      <w:r w:rsidR="00D57579" w:rsidRPr="00A13CCA">
        <w:rPr>
          <w:sz w:val="22"/>
        </w:rPr>
        <w:t>aktivizācijas laikam)</w:t>
      </w:r>
      <w:r w:rsidR="00E52767" w:rsidRPr="00A13CCA">
        <w:rPr>
          <w:sz w:val="22"/>
        </w:rPr>
        <w:t xml:space="preserve"> (h)</w:t>
      </w:r>
      <w:r w:rsidR="00D57579" w:rsidRPr="00A13CCA">
        <w:rPr>
          <w:sz w:val="22"/>
        </w:rPr>
        <w:t>.</w:t>
      </w:r>
    </w:p>
    <w:p w14:paraId="661A2E88" w14:textId="77777777" w:rsidR="00A13CCA" w:rsidRDefault="00D57579" w:rsidP="00A13CCA">
      <w:pPr>
        <w:pStyle w:val="ListParagraph"/>
        <w:keepNext/>
        <w:keepLines/>
        <w:numPr>
          <w:ilvl w:val="1"/>
          <w:numId w:val="4"/>
        </w:numPr>
        <w:tabs>
          <w:tab w:val="left" w:pos="709"/>
          <w:tab w:val="left" w:pos="993"/>
        </w:tabs>
        <w:spacing w:after="180" w:line="240" w:lineRule="auto"/>
        <w:jc w:val="both"/>
        <w:rPr>
          <w:sz w:val="22"/>
        </w:rPr>
      </w:pPr>
      <w:r w:rsidRPr="00A13CCA">
        <w:rPr>
          <w:sz w:val="22"/>
        </w:rPr>
        <w:t xml:space="preserve">Aktivizēta regulēšanas </w:t>
      </w:r>
      <w:r w:rsidR="002E722C" w:rsidRPr="00A13CCA">
        <w:rPr>
          <w:sz w:val="22"/>
        </w:rPr>
        <w:t xml:space="preserve">produkta </w:t>
      </w:r>
      <w:r w:rsidRPr="00A13CCA">
        <w:rPr>
          <w:sz w:val="22"/>
        </w:rPr>
        <w:t>solījuma cenu solījumam, kas aktivizēts veicot normālo aktivizāciju (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regnl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t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2"/>
          </w:rPr>
          <m:t xml:space="preserve">) </m:t>
        </m:r>
      </m:oMath>
      <w:r w:rsidRPr="00A13CCA">
        <w:rPr>
          <w:sz w:val="22"/>
        </w:rPr>
        <w:t>PSO nosaka saskaņā ar Tirgus noteikumos noteikto kārtību pielietojot marginālās cenas metodiku:</w:t>
      </w:r>
    </w:p>
    <w:p w14:paraId="772A33F8" w14:textId="1B996090" w:rsidR="00D57579" w:rsidRPr="00A13CCA" w:rsidRDefault="002E722C" w:rsidP="00A13CCA">
      <w:pPr>
        <w:pStyle w:val="ListParagraph"/>
        <w:keepNext/>
        <w:keepLines/>
        <w:numPr>
          <w:ilvl w:val="2"/>
          <w:numId w:val="4"/>
        </w:numPr>
        <w:tabs>
          <w:tab w:val="left" w:pos="709"/>
          <w:tab w:val="left" w:pos="1276"/>
        </w:tabs>
        <w:spacing w:after="180" w:line="240" w:lineRule="auto"/>
        <w:ind w:left="1276" w:hanging="850"/>
        <w:jc w:val="both"/>
        <w:rPr>
          <w:sz w:val="22"/>
        </w:rPr>
      </w:pPr>
      <w:r w:rsidRPr="00A13CCA">
        <w:rPr>
          <w:sz w:val="22"/>
        </w:rPr>
        <w:t xml:space="preserve">regulēšanas produkta </w:t>
      </w:r>
      <w:r w:rsidR="00D57579" w:rsidRPr="00A13CCA">
        <w:rPr>
          <w:sz w:val="22"/>
        </w:rPr>
        <w:t>solījumiem, kas augšupvērsti aktivizēti (uz noslodzi) marģinālo cenu nosaka vienādu ar lielāko, tirdzniecības intervālā</w:t>
      </w:r>
      <w:r w:rsidR="002A2A49" w:rsidRPr="00A13CCA">
        <w:rPr>
          <w:sz w:val="22"/>
        </w:rPr>
        <w:t xml:space="preserve"> t</w:t>
      </w:r>
      <w:r w:rsidR="00D57579" w:rsidRPr="00A13CCA">
        <w:rPr>
          <w:sz w:val="22"/>
        </w:rPr>
        <w:t xml:space="preserve"> </w:t>
      </w:r>
      <w:r w:rsidRPr="00A13CCA">
        <w:rPr>
          <w:sz w:val="22"/>
        </w:rPr>
        <w:t xml:space="preserve">augšupvērsti </w:t>
      </w:r>
      <w:r w:rsidR="00D57579" w:rsidRPr="00A13CCA">
        <w:rPr>
          <w:sz w:val="22"/>
        </w:rPr>
        <w:t>aktivizētā solījuma cenu;</w:t>
      </w:r>
    </w:p>
    <w:p w14:paraId="29189B45" w14:textId="71EACEC4" w:rsidR="00D57579" w:rsidRPr="00A4543F" w:rsidRDefault="002E722C" w:rsidP="00A13CCA">
      <w:pPr>
        <w:pStyle w:val="ListParagraph"/>
        <w:keepNext/>
        <w:keepLines/>
        <w:numPr>
          <w:ilvl w:val="2"/>
          <w:numId w:val="4"/>
        </w:numPr>
        <w:spacing w:after="180" w:line="240" w:lineRule="auto"/>
        <w:ind w:left="1276" w:hanging="850"/>
        <w:contextualSpacing w:val="0"/>
        <w:jc w:val="both"/>
        <w:rPr>
          <w:sz w:val="22"/>
        </w:rPr>
      </w:pPr>
      <w:r>
        <w:rPr>
          <w:sz w:val="22"/>
        </w:rPr>
        <w:t xml:space="preserve">regulēšanas produkta </w:t>
      </w:r>
      <w:r w:rsidR="00D57579">
        <w:rPr>
          <w:sz w:val="22"/>
        </w:rPr>
        <w:t>s</w:t>
      </w:r>
      <w:r w:rsidR="00D57579" w:rsidRPr="00A4543F">
        <w:rPr>
          <w:sz w:val="22"/>
        </w:rPr>
        <w:t xml:space="preserve">olījumiem, kas lejupvērsti aktivizēti (uz atslodzi) marģinālo cenu nosaka vienādu ar zemāko, tirdzniecības intervālā </w:t>
      </w:r>
      <w:r w:rsidR="002A2A49" w:rsidRPr="00A13CCA">
        <w:rPr>
          <w:sz w:val="22"/>
        </w:rPr>
        <w:t>t</w:t>
      </w:r>
      <w:r w:rsidR="002A2A49">
        <w:rPr>
          <w:sz w:val="22"/>
        </w:rPr>
        <w:t xml:space="preserve"> </w:t>
      </w:r>
      <w:r>
        <w:rPr>
          <w:sz w:val="22"/>
        </w:rPr>
        <w:t xml:space="preserve">lejupvērsti </w:t>
      </w:r>
      <w:r w:rsidR="00D57579" w:rsidRPr="00A4543F">
        <w:rPr>
          <w:sz w:val="22"/>
        </w:rPr>
        <w:t>aktivizētā solījuma cenu.</w:t>
      </w:r>
    </w:p>
    <w:p w14:paraId="47A88225" w14:textId="1CD72217" w:rsidR="00F03EAD" w:rsidRPr="007B590D" w:rsidRDefault="00D57579" w:rsidP="007B590D">
      <w:pPr>
        <w:pStyle w:val="ListParagraph"/>
        <w:keepNext/>
        <w:keepLines/>
        <w:numPr>
          <w:ilvl w:val="1"/>
          <w:numId w:val="4"/>
        </w:numPr>
        <w:spacing w:after="180" w:line="240" w:lineRule="auto"/>
        <w:ind w:left="567" w:hanging="567"/>
        <w:contextualSpacing w:val="0"/>
        <w:jc w:val="both"/>
        <w:rPr>
          <w:sz w:val="22"/>
        </w:rPr>
      </w:pPr>
      <w:r w:rsidRPr="00A4543F">
        <w:rPr>
          <w:sz w:val="22"/>
        </w:rPr>
        <w:t xml:space="preserve">Aktivizēta regulēšanas </w:t>
      </w:r>
      <w:r w:rsidR="002E722C">
        <w:rPr>
          <w:sz w:val="22"/>
        </w:rPr>
        <w:t xml:space="preserve">produkta </w:t>
      </w:r>
      <w:r w:rsidRPr="00A4543F">
        <w:rPr>
          <w:sz w:val="22"/>
        </w:rPr>
        <w:t>solījuma cenu, kas aktivizēts veicot speciālo aktivizāciju</w:t>
      </w:r>
      <w:r>
        <w:rPr>
          <w:sz w:val="22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regs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n</m:t>
                </m:r>
              </m:sub>
            </m:sSub>
          </m:sub>
        </m:sSub>
      </m:oMath>
      <w:r>
        <w:rPr>
          <w:sz w:val="22"/>
        </w:rPr>
        <w:t>)</w:t>
      </w:r>
      <w:r w:rsidRPr="00A4543F">
        <w:rPr>
          <w:sz w:val="22"/>
        </w:rPr>
        <w:t xml:space="preserve"> PSO nosaka saskaņā ar </w:t>
      </w:r>
      <w:r>
        <w:rPr>
          <w:sz w:val="22"/>
        </w:rPr>
        <w:t>Tirgus noteikumos</w:t>
      </w:r>
      <w:r w:rsidRPr="00A4543F">
        <w:rPr>
          <w:sz w:val="22"/>
        </w:rPr>
        <w:t xml:space="preserve"> noteikto kārtību, pamērojot RPS </w:t>
      </w:r>
      <w:r w:rsidR="002E722C">
        <w:rPr>
          <w:sz w:val="22"/>
        </w:rPr>
        <w:t xml:space="preserve">regulēšanas produkta </w:t>
      </w:r>
      <w:r w:rsidRPr="00A4543F">
        <w:rPr>
          <w:sz w:val="22"/>
        </w:rPr>
        <w:t>solījumā noteikto cenu.</w:t>
      </w:r>
    </w:p>
    <w:p w14:paraId="529BF427" w14:textId="01B4B26A" w:rsidR="00514450" w:rsidRPr="00A4543F" w:rsidRDefault="0077094A" w:rsidP="00E73D8A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left="567" w:hanging="567"/>
        <w:contextualSpacing w:val="0"/>
        <w:jc w:val="center"/>
        <w:rPr>
          <w:b/>
          <w:sz w:val="22"/>
        </w:rPr>
      </w:pPr>
      <w:r w:rsidRPr="00A4543F">
        <w:rPr>
          <w:b/>
          <w:bCs/>
          <w:sz w:val="22"/>
        </w:rPr>
        <w:t xml:space="preserve">RPS </w:t>
      </w:r>
      <w:r w:rsidRPr="00A4543F">
        <w:rPr>
          <w:b/>
          <w:bCs/>
          <w:caps/>
          <w:sz w:val="22"/>
        </w:rPr>
        <w:t>Sniegtā regulēšanas pakalpojuma apjoma saskaņošana</w:t>
      </w:r>
    </w:p>
    <w:p w14:paraId="43F266A4" w14:textId="77777777" w:rsidR="001625C6" w:rsidRPr="00A4543F" w:rsidRDefault="001625C6" w:rsidP="00D4381C">
      <w:pPr>
        <w:pStyle w:val="ListParagraph"/>
        <w:keepNext/>
        <w:keepLines/>
        <w:spacing w:after="0" w:line="240" w:lineRule="auto"/>
        <w:ind w:left="567"/>
        <w:contextualSpacing w:val="0"/>
        <w:jc w:val="both"/>
        <w:rPr>
          <w:b/>
          <w:sz w:val="22"/>
        </w:rPr>
      </w:pPr>
    </w:p>
    <w:p w14:paraId="3DA99ED0" w14:textId="580B2D89" w:rsidR="00F03EAD" w:rsidRPr="00A4543F" w:rsidRDefault="004E3EA8" w:rsidP="00E73D8A">
      <w:pPr>
        <w:pStyle w:val="ListParagraph"/>
        <w:keepNext/>
        <w:keepLines/>
        <w:numPr>
          <w:ilvl w:val="1"/>
          <w:numId w:val="4"/>
        </w:numPr>
        <w:spacing w:after="180" w:line="240" w:lineRule="auto"/>
        <w:ind w:left="567" w:hanging="567"/>
        <w:jc w:val="both"/>
        <w:rPr>
          <w:sz w:val="22"/>
        </w:rPr>
      </w:pPr>
      <w:bookmarkStart w:id="3" w:name="_Ref500737160"/>
      <w:r w:rsidRPr="00A4543F">
        <w:rPr>
          <w:caps/>
          <w:sz w:val="22"/>
        </w:rPr>
        <w:t>PSO</w:t>
      </w:r>
      <w:r w:rsidRPr="00A4543F">
        <w:rPr>
          <w:sz w:val="22"/>
        </w:rPr>
        <w:t xml:space="preserve"> </w:t>
      </w:r>
      <w:r w:rsidR="006514BF" w:rsidRPr="00A4543F">
        <w:rPr>
          <w:sz w:val="22"/>
        </w:rPr>
        <w:t xml:space="preserve">divu darba dienu laikā pēc </w:t>
      </w:r>
      <w:r w:rsidR="007B257C">
        <w:rPr>
          <w:sz w:val="22"/>
        </w:rPr>
        <w:t>regulēšanas produkta solījuma</w:t>
      </w:r>
      <w:r w:rsidR="006514BF" w:rsidRPr="00A4543F">
        <w:rPr>
          <w:sz w:val="22"/>
        </w:rPr>
        <w:t xml:space="preserve"> aktivizācijas</w:t>
      </w:r>
      <w:r w:rsidRPr="00A4543F">
        <w:rPr>
          <w:sz w:val="22"/>
        </w:rPr>
        <w:t xml:space="preserve"> sagatavo</w:t>
      </w:r>
      <w:r w:rsidR="009151A3">
        <w:rPr>
          <w:sz w:val="22"/>
        </w:rPr>
        <w:t xml:space="preserve"> un nosūta RPS</w:t>
      </w:r>
      <w:r w:rsidRPr="00A4543F">
        <w:rPr>
          <w:sz w:val="22"/>
        </w:rPr>
        <w:t xml:space="preserve"> atskaiti par izmantoto </w:t>
      </w:r>
      <w:r w:rsidR="00F03EAD" w:rsidRPr="00A4543F">
        <w:rPr>
          <w:sz w:val="22"/>
        </w:rPr>
        <w:t>regulēšanas</w:t>
      </w:r>
      <w:r w:rsidRPr="00A4543F">
        <w:rPr>
          <w:sz w:val="22"/>
        </w:rPr>
        <w:t xml:space="preserve"> apjomu</w:t>
      </w:r>
      <w:r w:rsidR="00F738CB" w:rsidRPr="00A4543F">
        <w:rPr>
          <w:sz w:val="22"/>
        </w:rPr>
        <w:t xml:space="preserve"> (MWh), piemēroto cenu (EUR/MWh) un summu (EUR) par katru tirdzniecības intervālu</w:t>
      </w:r>
      <w:r w:rsidR="00F03EAD" w:rsidRPr="00A4543F">
        <w:rPr>
          <w:sz w:val="22"/>
        </w:rPr>
        <w:t xml:space="preserve"> atsevišķi norādot:</w:t>
      </w:r>
      <w:bookmarkEnd w:id="3"/>
    </w:p>
    <w:p w14:paraId="62E335EF" w14:textId="1A2515B6" w:rsidR="00F03EAD" w:rsidRPr="00A4543F" w:rsidRDefault="00F03EAD" w:rsidP="00D57579">
      <w:pPr>
        <w:pStyle w:val="ListParagraph"/>
        <w:keepNext/>
        <w:keepLines/>
        <w:numPr>
          <w:ilvl w:val="2"/>
          <w:numId w:val="4"/>
        </w:numPr>
        <w:spacing w:after="180" w:line="240" w:lineRule="auto"/>
        <w:ind w:left="1276" w:hanging="709"/>
        <w:jc w:val="both"/>
        <w:rPr>
          <w:sz w:val="22"/>
        </w:rPr>
      </w:pPr>
      <w:r w:rsidRPr="00A4543F">
        <w:rPr>
          <w:sz w:val="22"/>
        </w:rPr>
        <w:t xml:space="preserve">Regulēšanas </w:t>
      </w:r>
      <w:r w:rsidR="007B257C">
        <w:rPr>
          <w:sz w:val="22"/>
        </w:rPr>
        <w:t>produktus</w:t>
      </w:r>
      <w:r w:rsidRPr="00A4543F">
        <w:rPr>
          <w:sz w:val="22"/>
        </w:rPr>
        <w:t>, kas piegādāt</w:t>
      </w:r>
      <w:r w:rsidR="007B257C">
        <w:rPr>
          <w:sz w:val="22"/>
        </w:rPr>
        <w:t>i</w:t>
      </w:r>
      <w:r w:rsidRPr="00A4543F">
        <w:rPr>
          <w:sz w:val="22"/>
        </w:rPr>
        <w:t xml:space="preserve"> veicot augšupvērstu aktivizāciju;</w:t>
      </w:r>
    </w:p>
    <w:p w14:paraId="00F5490E" w14:textId="1BBEACE1" w:rsidR="00F03EAD" w:rsidRPr="00A4543F" w:rsidRDefault="00F03EAD" w:rsidP="00D57579">
      <w:pPr>
        <w:pStyle w:val="ListParagraph"/>
        <w:keepNext/>
        <w:keepLines/>
        <w:numPr>
          <w:ilvl w:val="2"/>
          <w:numId w:val="4"/>
        </w:numPr>
        <w:spacing w:after="180" w:line="240" w:lineRule="auto"/>
        <w:ind w:left="1276" w:hanging="709"/>
        <w:contextualSpacing w:val="0"/>
        <w:jc w:val="both"/>
        <w:rPr>
          <w:sz w:val="22"/>
        </w:rPr>
      </w:pPr>
      <w:r w:rsidRPr="00A4543F">
        <w:rPr>
          <w:sz w:val="22"/>
        </w:rPr>
        <w:t xml:space="preserve">Regulēšanas </w:t>
      </w:r>
      <w:r w:rsidR="007B257C">
        <w:rPr>
          <w:sz w:val="22"/>
        </w:rPr>
        <w:t>produktus</w:t>
      </w:r>
      <w:r w:rsidRPr="00A4543F">
        <w:rPr>
          <w:sz w:val="22"/>
        </w:rPr>
        <w:t>, kas piegādāt</w:t>
      </w:r>
      <w:r w:rsidR="007B257C">
        <w:rPr>
          <w:sz w:val="22"/>
        </w:rPr>
        <w:t>i</w:t>
      </w:r>
      <w:r w:rsidRPr="00A4543F">
        <w:rPr>
          <w:sz w:val="22"/>
        </w:rPr>
        <w:t xml:space="preserve"> veicot lejupvērstu aktivizāciju</w:t>
      </w:r>
      <w:r w:rsidR="00F738CB" w:rsidRPr="00A4543F">
        <w:rPr>
          <w:sz w:val="22"/>
        </w:rPr>
        <w:t>.</w:t>
      </w:r>
    </w:p>
    <w:p w14:paraId="5D40C434" w14:textId="260C90E4" w:rsidR="000F7D49" w:rsidRPr="007B590D" w:rsidRDefault="00A353D6" w:rsidP="007B590D">
      <w:pPr>
        <w:pStyle w:val="ListParagraph"/>
        <w:keepNext/>
        <w:keepLines/>
        <w:numPr>
          <w:ilvl w:val="1"/>
          <w:numId w:val="4"/>
        </w:numPr>
        <w:spacing w:after="180" w:line="240" w:lineRule="auto"/>
        <w:ind w:left="567" w:hanging="567"/>
        <w:contextualSpacing w:val="0"/>
        <w:jc w:val="both"/>
        <w:rPr>
          <w:b/>
          <w:sz w:val="22"/>
        </w:rPr>
      </w:pPr>
      <w:r w:rsidRPr="007B590D">
        <w:rPr>
          <w:sz w:val="22"/>
        </w:rPr>
        <w:t>RPS un PSO vienas darba dienas laikā</w:t>
      </w:r>
      <w:r w:rsidR="00E52767" w:rsidRPr="007B590D">
        <w:rPr>
          <w:sz w:val="22"/>
        </w:rPr>
        <w:t xml:space="preserve"> pēc šo Noteikumu </w:t>
      </w:r>
      <w:r w:rsidR="00E52767" w:rsidRPr="007B590D">
        <w:rPr>
          <w:sz w:val="22"/>
        </w:rPr>
        <w:fldChar w:fldCharType="begin"/>
      </w:r>
      <w:r w:rsidR="00E52767" w:rsidRPr="007B590D">
        <w:rPr>
          <w:sz w:val="22"/>
        </w:rPr>
        <w:instrText xml:space="preserve"> REF _Ref500737160 \r \h  \* MERGEFORMAT </w:instrText>
      </w:r>
      <w:r w:rsidR="00E52767" w:rsidRPr="007B590D">
        <w:rPr>
          <w:sz w:val="22"/>
        </w:rPr>
      </w:r>
      <w:r w:rsidR="00E52767" w:rsidRPr="007B590D">
        <w:rPr>
          <w:sz w:val="22"/>
        </w:rPr>
        <w:fldChar w:fldCharType="separate"/>
      </w:r>
      <w:r w:rsidR="000C0C2A">
        <w:rPr>
          <w:sz w:val="22"/>
        </w:rPr>
        <w:t>5.1</w:t>
      </w:r>
      <w:r w:rsidR="00E52767" w:rsidRPr="007B590D">
        <w:rPr>
          <w:sz w:val="22"/>
        </w:rPr>
        <w:fldChar w:fldCharType="end"/>
      </w:r>
      <w:r w:rsidR="00E52767" w:rsidRPr="007B590D">
        <w:rPr>
          <w:sz w:val="22"/>
        </w:rPr>
        <w:t>. punktā minētās atskaites nosūtīšanas RPS, RPS un PSO</w:t>
      </w:r>
      <w:r w:rsidRPr="007B590D">
        <w:rPr>
          <w:sz w:val="22"/>
        </w:rPr>
        <w:t xml:space="preserve"> abpusēji </w:t>
      </w:r>
      <w:r w:rsidR="00E52767" w:rsidRPr="007B590D">
        <w:rPr>
          <w:sz w:val="22"/>
        </w:rPr>
        <w:t xml:space="preserve">šo atskaiti </w:t>
      </w:r>
      <w:r w:rsidRPr="007B590D">
        <w:rPr>
          <w:sz w:val="22"/>
        </w:rPr>
        <w:t xml:space="preserve">elektroniski </w:t>
      </w:r>
      <w:r w:rsidR="00E24706" w:rsidRPr="007B590D">
        <w:rPr>
          <w:sz w:val="22"/>
        </w:rPr>
        <w:t>saskaņo</w:t>
      </w:r>
      <w:r w:rsidR="00E52767" w:rsidRPr="007B590D">
        <w:rPr>
          <w:sz w:val="22"/>
        </w:rPr>
        <w:t>.</w:t>
      </w:r>
    </w:p>
    <w:p w14:paraId="4B4B5908" w14:textId="1FF2E9CC" w:rsidR="002C0755" w:rsidRPr="007B590D" w:rsidRDefault="002C0755" w:rsidP="00ED5E12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b/>
          <w:sz w:val="22"/>
        </w:rPr>
      </w:pPr>
      <w:r w:rsidRPr="00A4543F">
        <w:rPr>
          <w:b/>
          <w:bCs/>
          <w:caps/>
          <w:sz w:val="22"/>
        </w:rPr>
        <w:t>Pielikumi</w:t>
      </w:r>
    </w:p>
    <w:p w14:paraId="4371BFB3" w14:textId="031716FC" w:rsidR="00621F65" w:rsidRPr="007B590D" w:rsidRDefault="007B590D" w:rsidP="007B590D">
      <w:pPr>
        <w:pStyle w:val="ListParagraph"/>
        <w:keepNext/>
        <w:keepLines/>
        <w:numPr>
          <w:ilvl w:val="0"/>
          <w:numId w:val="9"/>
        </w:numPr>
        <w:tabs>
          <w:tab w:val="left" w:pos="426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b/>
          <w:sz w:val="22"/>
        </w:rPr>
      </w:pPr>
      <w:r w:rsidRPr="007B590D">
        <w:rPr>
          <w:bCs/>
          <w:sz w:val="22"/>
        </w:rPr>
        <w:t>pielikums</w:t>
      </w:r>
      <w:r>
        <w:rPr>
          <w:bCs/>
          <w:sz w:val="22"/>
        </w:rPr>
        <w:tab/>
        <w:t>–</w:t>
      </w:r>
      <w:r>
        <w:rPr>
          <w:bCs/>
          <w:sz w:val="22"/>
        </w:rPr>
        <w:tab/>
      </w:r>
      <w:r w:rsidR="00C15675">
        <w:rPr>
          <w:bCs/>
          <w:sz w:val="22"/>
        </w:rPr>
        <w:t>Regulēšanas</w:t>
      </w:r>
      <w:r w:rsidR="00621F65" w:rsidRPr="007B590D">
        <w:rPr>
          <w:bCs/>
          <w:sz w:val="22"/>
        </w:rPr>
        <w:t xml:space="preserve"> produkta </w:t>
      </w:r>
      <w:r w:rsidR="00C15675">
        <w:rPr>
          <w:bCs/>
          <w:sz w:val="22"/>
        </w:rPr>
        <w:t>raksturojums</w:t>
      </w:r>
      <w:r w:rsidR="0022311A" w:rsidRPr="007B590D">
        <w:rPr>
          <w:bCs/>
          <w:sz w:val="22"/>
        </w:rPr>
        <w:t>;</w:t>
      </w:r>
    </w:p>
    <w:p w14:paraId="4C0820E4" w14:textId="2C873C56" w:rsidR="0022311A" w:rsidRPr="007B590D" w:rsidRDefault="007B590D" w:rsidP="007B590D">
      <w:pPr>
        <w:pStyle w:val="ListParagraph"/>
        <w:keepNext/>
        <w:keepLines/>
        <w:numPr>
          <w:ilvl w:val="0"/>
          <w:numId w:val="9"/>
        </w:numPr>
        <w:tabs>
          <w:tab w:val="left" w:pos="426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b/>
          <w:sz w:val="22"/>
        </w:rPr>
      </w:pPr>
      <w:r w:rsidRPr="007B590D">
        <w:rPr>
          <w:bCs/>
          <w:sz w:val="22"/>
        </w:rPr>
        <w:t>pielikums</w:t>
      </w:r>
      <w:r>
        <w:rPr>
          <w:bCs/>
          <w:sz w:val="22"/>
        </w:rPr>
        <w:tab/>
      </w:r>
      <w:r w:rsidR="0022311A" w:rsidRPr="007B590D">
        <w:rPr>
          <w:bCs/>
          <w:sz w:val="22"/>
        </w:rPr>
        <w:t>–</w:t>
      </w:r>
      <w:r>
        <w:rPr>
          <w:bCs/>
          <w:sz w:val="22"/>
        </w:rPr>
        <w:tab/>
      </w:r>
      <w:r w:rsidR="0022311A" w:rsidRPr="007B590D">
        <w:rPr>
          <w:sz w:val="22"/>
        </w:rPr>
        <w:t>Forma regulēšanas jaudas piedāvājumam;</w:t>
      </w:r>
    </w:p>
    <w:p w14:paraId="6B1E6EFC" w14:textId="6787D416" w:rsidR="0022311A" w:rsidRPr="007B590D" w:rsidRDefault="007B590D" w:rsidP="007B590D">
      <w:pPr>
        <w:pStyle w:val="ListParagraph"/>
        <w:keepNext/>
        <w:keepLines/>
        <w:numPr>
          <w:ilvl w:val="0"/>
          <w:numId w:val="9"/>
        </w:numPr>
        <w:tabs>
          <w:tab w:val="left" w:pos="426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b/>
          <w:sz w:val="22"/>
        </w:rPr>
      </w:pPr>
      <w:r w:rsidRPr="007B590D">
        <w:rPr>
          <w:sz w:val="22"/>
        </w:rPr>
        <w:t>pielikums</w:t>
      </w:r>
      <w:r>
        <w:rPr>
          <w:bCs/>
          <w:sz w:val="22"/>
        </w:rPr>
        <w:tab/>
      </w:r>
      <w:r w:rsidR="0022311A" w:rsidRPr="007B590D">
        <w:rPr>
          <w:bCs/>
          <w:sz w:val="22"/>
        </w:rPr>
        <w:t>–</w:t>
      </w:r>
      <w:r>
        <w:rPr>
          <w:bCs/>
          <w:sz w:val="22"/>
        </w:rPr>
        <w:tab/>
      </w:r>
      <w:r w:rsidR="00553CA6" w:rsidRPr="007B590D">
        <w:rPr>
          <w:bCs/>
          <w:sz w:val="22"/>
        </w:rPr>
        <w:t>PSO dispečera dotās regulēšanas produkta aktivizācijas un dezaktivizācijas komandas forma</w:t>
      </w:r>
    </w:p>
    <w:p w14:paraId="56D6C9C6" w14:textId="77777777" w:rsidR="000C04F5" w:rsidRPr="00A4543F" w:rsidRDefault="000C04F5">
      <w:pPr>
        <w:spacing w:after="0" w:line="240" w:lineRule="auto"/>
        <w:rPr>
          <w:b/>
          <w:sz w:val="22"/>
        </w:rPr>
      </w:pPr>
      <w:r w:rsidRPr="00A4543F">
        <w:rPr>
          <w:b/>
          <w:sz w:val="22"/>
        </w:rPr>
        <w:br w:type="page"/>
      </w:r>
    </w:p>
    <w:p w14:paraId="4654CEDC" w14:textId="1604F279" w:rsidR="00621F65" w:rsidRPr="0022311A" w:rsidRDefault="00621F65" w:rsidP="00621F65">
      <w:pPr>
        <w:pStyle w:val="ListParagraph"/>
        <w:spacing w:after="0" w:line="240" w:lineRule="auto"/>
        <w:ind w:left="709"/>
        <w:jc w:val="right"/>
        <w:rPr>
          <w:b/>
          <w:szCs w:val="24"/>
        </w:rPr>
      </w:pPr>
      <w:r w:rsidRPr="0022311A">
        <w:rPr>
          <w:b/>
          <w:szCs w:val="24"/>
        </w:rPr>
        <w:lastRenderedPageBreak/>
        <w:t>1. Pielikums</w:t>
      </w:r>
    </w:p>
    <w:p w14:paraId="5115D7C4" w14:textId="2DD5E0B6" w:rsidR="00621F65" w:rsidRDefault="00621F65" w:rsidP="00621F65">
      <w:pPr>
        <w:pStyle w:val="ListParagraph"/>
        <w:spacing w:after="0" w:line="240" w:lineRule="auto"/>
        <w:ind w:left="142"/>
        <w:jc w:val="right"/>
        <w:rPr>
          <w:szCs w:val="24"/>
        </w:rPr>
      </w:pPr>
      <w:r w:rsidRPr="0022311A">
        <w:rPr>
          <w:szCs w:val="24"/>
        </w:rPr>
        <w:t>Sistēmas palīgpakalpojuma līguma regulēšanas pakalpojuma sniegšanas noteikumi (apstiprināt</w:t>
      </w:r>
      <w:r w:rsidR="0062273A">
        <w:rPr>
          <w:szCs w:val="24"/>
        </w:rPr>
        <w:t xml:space="preserve">i ar AS “Augstsprieguma tīkls” </w:t>
      </w:r>
      <w:r w:rsidRPr="0062273A">
        <w:rPr>
          <w:szCs w:val="24"/>
        </w:rPr>
        <w:t xml:space="preserve">valdes </w:t>
      </w:r>
      <w:r w:rsidR="0062273A" w:rsidRPr="0062273A">
        <w:rPr>
          <w:szCs w:val="24"/>
        </w:rPr>
        <w:t>20.12</w:t>
      </w:r>
      <w:r w:rsidRPr="0062273A">
        <w:rPr>
          <w:szCs w:val="24"/>
        </w:rPr>
        <w:t>.</w:t>
      </w:r>
      <w:r w:rsidR="0062273A" w:rsidRPr="0062273A">
        <w:rPr>
          <w:szCs w:val="24"/>
        </w:rPr>
        <w:t>2017.</w:t>
      </w:r>
      <w:r w:rsidRPr="0062273A">
        <w:rPr>
          <w:szCs w:val="24"/>
        </w:rPr>
        <w:t xml:space="preserve"> lēmumu Nr.</w:t>
      </w:r>
      <w:r w:rsidR="0062273A" w:rsidRPr="0062273A">
        <w:rPr>
          <w:szCs w:val="24"/>
        </w:rPr>
        <w:t xml:space="preserve"> </w:t>
      </w:r>
      <w:r w:rsidR="0062273A" w:rsidRPr="0062273A">
        <w:rPr>
          <w:szCs w:val="24"/>
        </w:rPr>
        <w:t>169/58</w:t>
      </w:r>
      <w:r w:rsidRPr="0022311A">
        <w:rPr>
          <w:szCs w:val="24"/>
        </w:rPr>
        <w:t>)</w:t>
      </w:r>
    </w:p>
    <w:p w14:paraId="7A6587D1" w14:textId="28E15404" w:rsidR="0022311A" w:rsidRDefault="0022311A" w:rsidP="00621F65">
      <w:pPr>
        <w:pStyle w:val="ListParagraph"/>
        <w:spacing w:after="0" w:line="240" w:lineRule="auto"/>
        <w:ind w:left="142"/>
        <w:jc w:val="right"/>
        <w:rPr>
          <w:szCs w:val="24"/>
        </w:rPr>
      </w:pPr>
    </w:p>
    <w:p w14:paraId="5D2C8895" w14:textId="6D72BD73" w:rsidR="00621F65" w:rsidRDefault="007B590D" w:rsidP="007B590D">
      <w:pPr>
        <w:pStyle w:val="ListParagraph"/>
        <w:keepNext/>
        <w:keepLines/>
        <w:spacing w:after="0" w:line="240" w:lineRule="auto"/>
        <w:ind w:left="1418"/>
        <w:jc w:val="center"/>
        <w:rPr>
          <w:rFonts w:eastAsia="Times New Roman"/>
          <w:b/>
          <w:sz w:val="22"/>
          <w:lang w:bidi="lv-LV"/>
        </w:rPr>
      </w:pPr>
      <w:r>
        <w:rPr>
          <w:rFonts w:eastAsia="Times New Roman"/>
          <w:b/>
          <w:sz w:val="22"/>
          <w:lang w:bidi="lv-LV"/>
        </w:rPr>
        <w:t>Regulēšanas</w:t>
      </w:r>
      <w:r w:rsidRPr="00A13CCA">
        <w:rPr>
          <w:rFonts w:eastAsia="Times New Roman"/>
          <w:b/>
          <w:sz w:val="22"/>
          <w:lang w:bidi="lv-LV"/>
        </w:rPr>
        <w:t xml:space="preserve"> produkta raksturojums</w:t>
      </w:r>
    </w:p>
    <w:p w14:paraId="65DAC7FB" w14:textId="77777777" w:rsidR="007B590D" w:rsidRPr="0022311A" w:rsidRDefault="007B590D" w:rsidP="007B590D">
      <w:pPr>
        <w:pStyle w:val="ListParagraph"/>
        <w:keepNext/>
        <w:keepLines/>
        <w:spacing w:after="0" w:line="240" w:lineRule="auto"/>
        <w:ind w:left="1418"/>
        <w:jc w:val="center"/>
        <w:rPr>
          <w:rFonts w:eastAsia="Times New Roman"/>
          <w:color w:val="000000"/>
          <w:sz w:val="22"/>
          <w:lang w:eastAsia="ru-RU"/>
        </w:rPr>
      </w:pPr>
    </w:p>
    <w:tbl>
      <w:tblPr>
        <w:tblStyle w:val="TableGrid1"/>
        <w:tblW w:w="5240" w:type="pct"/>
        <w:tblInd w:w="0" w:type="dxa"/>
        <w:tblLook w:val="04A0" w:firstRow="1" w:lastRow="0" w:firstColumn="1" w:lastColumn="0" w:noHBand="0" w:noVBand="1"/>
      </w:tblPr>
      <w:tblGrid>
        <w:gridCol w:w="2515"/>
        <w:gridCol w:w="7071"/>
      </w:tblGrid>
      <w:tr w:rsidR="0022311A" w:rsidRPr="0022311A" w14:paraId="13676A72" w14:textId="77777777" w:rsidTr="0022311A">
        <w:trPr>
          <w:trHeight w:val="384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18EA" w14:textId="3A80B7FA" w:rsidR="0022311A" w:rsidRPr="00A13CCA" w:rsidRDefault="0022311A" w:rsidP="00A4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bidi="lv-LV"/>
              </w:rPr>
            </w:pPr>
            <w:r w:rsidRPr="00A13CCA">
              <w:rPr>
                <w:rFonts w:ascii="Times New Roman" w:eastAsia="Times New Roman" w:hAnsi="Times New Roman" w:cs="Times New Roman"/>
                <w:b/>
                <w:sz w:val="22"/>
                <w:lang w:bidi="lv-LV"/>
              </w:rPr>
              <w:t>Parametrs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8147" w14:textId="66302AFA" w:rsidR="0022311A" w:rsidRPr="00A13CCA" w:rsidRDefault="007807D6" w:rsidP="0099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bidi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bidi="lv-LV"/>
              </w:rPr>
              <w:t>Regulēšanas</w:t>
            </w:r>
            <w:r w:rsidR="0022311A" w:rsidRPr="00A13CCA">
              <w:rPr>
                <w:rFonts w:ascii="Times New Roman" w:eastAsia="Times New Roman" w:hAnsi="Times New Roman" w:cs="Times New Roman"/>
                <w:b/>
                <w:sz w:val="22"/>
                <w:lang w:bidi="lv-LV"/>
              </w:rPr>
              <w:t xml:space="preserve"> produkta raksturojums</w:t>
            </w:r>
          </w:p>
        </w:tc>
      </w:tr>
      <w:tr w:rsidR="0022311A" w:rsidRPr="0022311A" w14:paraId="279FAA3D" w14:textId="77777777" w:rsidTr="0022311A">
        <w:trPr>
          <w:trHeight w:val="384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2986" w14:textId="77777777" w:rsidR="0022311A" w:rsidRPr="00A13CCA" w:rsidRDefault="0022311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Sagatavošanās periods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AC8E" w14:textId="45CB6F9C" w:rsidR="0022311A" w:rsidRPr="00A13CCA" w:rsidRDefault="0022311A" w:rsidP="0078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PSO un</w:t>
            </w:r>
            <w:r w:rsidRPr="00A13CCA">
              <w:rPr>
                <w:rFonts w:ascii="Times New Roman" w:eastAsia="Times New Roman" w:hAnsi="Times New Roman" w:cs="Times New Roman"/>
                <w:i/>
                <w:sz w:val="22"/>
                <w:lang w:bidi="lv-LV"/>
              </w:rPr>
              <w:t xml:space="preserve"> </w:t>
            </w:r>
            <w:r w:rsidR="00B85DE3"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 xml:space="preserve">RPS </w:t>
            </w: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par to vienojas pa tālruni</w:t>
            </w:r>
          </w:p>
        </w:tc>
      </w:tr>
      <w:tr w:rsidR="0022311A" w:rsidRPr="0022311A" w14:paraId="60190967" w14:textId="77777777" w:rsidTr="0022311A">
        <w:trPr>
          <w:trHeight w:val="321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BA28" w14:textId="77777777" w:rsidR="0022311A" w:rsidRPr="00A13CCA" w:rsidRDefault="0022311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 xml:space="preserve">Rampveida izmaiņu periods 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5BC3" w14:textId="77777777" w:rsidR="0022311A" w:rsidRPr="00A13CCA" w:rsidRDefault="0022311A" w:rsidP="0022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Ne vairāk kā 15 min</w:t>
            </w:r>
          </w:p>
        </w:tc>
      </w:tr>
      <w:tr w:rsidR="0022311A" w:rsidRPr="0022311A" w14:paraId="16CF524E" w14:textId="77777777" w:rsidTr="0022311A">
        <w:trPr>
          <w:trHeight w:val="502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8BC9" w14:textId="77777777" w:rsidR="0022311A" w:rsidRPr="00A13CCA" w:rsidRDefault="0022311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 xml:space="preserve">Pilnīgas aktivizācijas laiks 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6FEA" w14:textId="77777777" w:rsidR="0022311A" w:rsidRPr="00A13CCA" w:rsidRDefault="0022311A" w:rsidP="0022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Ne vairāk kā 15 min</w:t>
            </w:r>
          </w:p>
        </w:tc>
      </w:tr>
      <w:tr w:rsidR="0022311A" w:rsidRPr="0022311A" w14:paraId="5AC78031" w14:textId="77777777" w:rsidTr="0022311A">
        <w:trPr>
          <w:trHeight w:val="165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3C33" w14:textId="77777777" w:rsidR="0022311A" w:rsidRPr="00A13CCA" w:rsidRDefault="0022311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Minimālais un maksimālais daudzums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3D68" w14:textId="6604597D" w:rsidR="0022311A" w:rsidRPr="00A13CCA" w:rsidRDefault="0022311A" w:rsidP="00553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 xml:space="preserve">MIN = 1 MW; MAX = nav ierobežojumu; </w:t>
            </w:r>
            <w:r w:rsidR="00553CA6">
              <w:rPr>
                <w:rFonts w:ascii="Times New Roman" w:eastAsia="Times New Roman" w:hAnsi="Times New Roman" w:cs="Times New Roman"/>
                <w:sz w:val="22"/>
                <w:lang w:bidi="lv-LV"/>
              </w:rPr>
              <w:t xml:space="preserve">solis - </w:t>
            </w: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 xml:space="preserve"> 1 MW</w:t>
            </w:r>
          </w:p>
        </w:tc>
      </w:tr>
      <w:tr w:rsidR="0022311A" w:rsidRPr="0022311A" w14:paraId="172E4C9B" w14:textId="77777777" w:rsidTr="0022311A">
        <w:trPr>
          <w:trHeight w:val="367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C798" w14:textId="77B127A4" w:rsidR="0022311A" w:rsidRPr="00A13CCA" w:rsidRDefault="0022311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De</w:t>
            </w:r>
            <w:r w:rsidR="007F244A"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z</w:t>
            </w: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aktivizācijas periods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EC5D" w14:textId="77777777" w:rsidR="0022311A" w:rsidRPr="00A13CCA" w:rsidRDefault="0022311A" w:rsidP="0022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Ne vairāk kā 15 min</w:t>
            </w:r>
          </w:p>
        </w:tc>
      </w:tr>
      <w:tr w:rsidR="0022311A" w:rsidRPr="0022311A" w14:paraId="14F28E85" w14:textId="77777777" w:rsidTr="0022311A">
        <w:trPr>
          <w:trHeight w:val="492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9F36" w14:textId="77777777" w:rsidR="0022311A" w:rsidRPr="00A13CCA" w:rsidRDefault="0022311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Cenas aprēķina metode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6D6B" w14:textId="77AE772D" w:rsidR="0022311A" w:rsidRPr="00A13CCA" w:rsidRDefault="0022311A" w:rsidP="0022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Robežcena Normālai aktivizācijai; Apmaksa kā par RPS solījumu īpašajai aktivizācijai</w:t>
            </w:r>
          </w:p>
        </w:tc>
      </w:tr>
      <w:tr w:rsidR="0022311A" w:rsidRPr="0022311A" w14:paraId="321D524F" w14:textId="77777777" w:rsidTr="0022311A">
        <w:trPr>
          <w:trHeight w:val="811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467B" w14:textId="77777777" w:rsidR="0022311A" w:rsidRPr="00A13CCA" w:rsidRDefault="0022311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Minimālā un maksimālā cena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9F12" w14:textId="77777777" w:rsidR="0022311A" w:rsidRPr="00A13CCA" w:rsidRDefault="0022311A" w:rsidP="0022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MIN nav noteikts; MAX = 5000 EUR/MWh</w:t>
            </w:r>
          </w:p>
          <w:p w14:paraId="46F14CD5" w14:textId="77777777" w:rsidR="0022311A" w:rsidRPr="00A13CCA" w:rsidRDefault="0022311A" w:rsidP="0022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Precizitāte 0,01 EUR/MWh</w:t>
            </w:r>
          </w:p>
        </w:tc>
      </w:tr>
      <w:tr w:rsidR="0022311A" w:rsidRPr="0022311A" w14:paraId="75898957" w14:textId="77777777" w:rsidTr="0022311A">
        <w:trPr>
          <w:trHeight w:val="511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6CC1" w14:textId="77777777" w:rsidR="0022311A" w:rsidRPr="00A13CCA" w:rsidRDefault="0022311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Dalāmība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E99A" w14:textId="11151A32" w:rsidR="0022311A" w:rsidRPr="00A13CCA" w:rsidRDefault="0022311A" w:rsidP="00EA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Definē</w:t>
            </w:r>
            <w:r w:rsidRPr="00A13CCA">
              <w:rPr>
                <w:rFonts w:ascii="Times New Roman" w:eastAsia="Times New Roman" w:hAnsi="Times New Roman" w:cs="Times New Roman"/>
                <w:i/>
                <w:sz w:val="22"/>
                <w:lang w:bidi="lv-LV"/>
              </w:rPr>
              <w:t xml:space="preserve"> </w:t>
            </w:r>
            <w:r w:rsidR="00EA2508"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 xml:space="preserve">RPS </w:t>
            </w: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(dalāma vai nedalāma)</w:t>
            </w:r>
          </w:p>
        </w:tc>
      </w:tr>
      <w:tr w:rsidR="0022311A" w:rsidRPr="0022311A" w14:paraId="422A034D" w14:textId="77777777" w:rsidTr="0022311A">
        <w:trPr>
          <w:trHeight w:val="776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CAFD" w14:textId="77777777" w:rsidR="0022311A" w:rsidRPr="00A13CCA" w:rsidRDefault="0022311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 xml:space="preserve">Minimālais un maksimālais piegādes periods 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1377" w14:textId="35C5BBDC" w:rsidR="0022311A" w:rsidRPr="00A13CCA" w:rsidRDefault="0022311A" w:rsidP="0022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 xml:space="preserve">MIN = 1 min; MAX = 60 min (bet ne vēlāk kā līdz </w:t>
            </w:r>
            <w:r w:rsidR="00553CA6" w:rsidRPr="00553CA6">
              <w:rPr>
                <w:rFonts w:ascii="Times New Roman" w:eastAsia="Times New Roman" w:hAnsi="Times New Roman" w:cs="Times New Roman"/>
                <w:sz w:val="22"/>
                <w:lang w:bidi="lv-LV"/>
              </w:rPr>
              <w:t>tirdzniecības intervāla</w:t>
            </w:r>
            <w:r w:rsidR="00553CA6">
              <w:rPr>
                <w:rFonts w:ascii="Times New Roman" w:eastAsia="Times New Roman" w:hAnsi="Times New Roman" w:cs="Times New Roman"/>
                <w:i/>
                <w:sz w:val="22"/>
                <w:lang w:bidi="lv-LV"/>
              </w:rPr>
              <w:t xml:space="preserve"> </w:t>
            </w: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 xml:space="preserve"> beigām).</w:t>
            </w:r>
          </w:p>
          <w:p w14:paraId="64A5A7FA" w14:textId="77777777" w:rsidR="0022311A" w:rsidRPr="00A13CCA" w:rsidRDefault="0022311A" w:rsidP="0022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Izšķirtspēja 1 minūte</w:t>
            </w:r>
          </w:p>
        </w:tc>
      </w:tr>
      <w:tr w:rsidR="0022311A" w:rsidRPr="0022311A" w14:paraId="4E91924F" w14:textId="77777777" w:rsidTr="0022311A">
        <w:trPr>
          <w:trHeight w:val="545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86E0" w14:textId="77777777" w:rsidR="0022311A" w:rsidRPr="00A13CCA" w:rsidRDefault="0022311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 xml:space="preserve">Derīguma periods 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2296" w14:textId="312DAD5D" w:rsidR="0022311A" w:rsidRPr="00A13CCA" w:rsidRDefault="0022311A" w:rsidP="0022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60 min</w:t>
            </w:r>
          </w:p>
        </w:tc>
      </w:tr>
      <w:tr w:rsidR="0022311A" w:rsidRPr="0022311A" w14:paraId="09C9DF6E" w14:textId="77777777" w:rsidTr="0022311A">
        <w:trPr>
          <w:trHeight w:val="485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B4EB" w14:textId="77777777" w:rsidR="0022311A" w:rsidRPr="00A13CCA" w:rsidRDefault="0022311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Aktivizācijas režīms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7B81" w14:textId="77777777" w:rsidR="0022311A" w:rsidRPr="00A13CCA" w:rsidRDefault="0022311A" w:rsidP="0022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Manuāli</w:t>
            </w:r>
          </w:p>
        </w:tc>
      </w:tr>
      <w:tr w:rsidR="0022311A" w:rsidRPr="0022311A" w14:paraId="338A64C8" w14:textId="77777777" w:rsidTr="0022311A">
        <w:trPr>
          <w:trHeight w:val="1301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3117" w14:textId="1907CA1B" w:rsidR="0022311A" w:rsidRPr="00A13CCA" w:rsidRDefault="0022311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Minimālais laika periods starp de</w:t>
            </w:r>
            <w:r w:rsidR="007F244A"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z</w:t>
            </w: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aktivizācijas perioda beigām un nākamo aktivizāciju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06AF" w14:textId="77777777" w:rsidR="0022311A" w:rsidRPr="00A13CCA" w:rsidRDefault="0022311A" w:rsidP="0022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Nav noteikts</w:t>
            </w:r>
          </w:p>
        </w:tc>
      </w:tr>
      <w:tr w:rsidR="0022311A" w:rsidRPr="0022311A" w14:paraId="5F527267" w14:textId="77777777" w:rsidTr="0022311A">
        <w:trPr>
          <w:trHeight w:val="1505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1423" w14:textId="77777777" w:rsidR="0022311A" w:rsidRPr="00A13CCA" w:rsidRDefault="0022311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Solījumu sasaiste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677F" w14:textId="719A9DCB" w:rsidR="0022311A" w:rsidRPr="00A13CCA" w:rsidRDefault="0022311A" w:rsidP="0022311A">
            <w:pPr>
              <w:pStyle w:val="Caption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szCs w:val="22"/>
                <w:lang w:val="lv-LV" w:bidi="lv-LV"/>
              </w:rPr>
              <w:t xml:space="preserve">Solījumu sasaiste laikā nav atļauta. Solījumus var saistīt enerģijā viena </w:t>
            </w:r>
            <w:r w:rsidR="00E02389" w:rsidRPr="00A13CCA">
              <w:rPr>
                <w:rFonts w:ascii="Times New Roman" w:eastAsia="Times New Roman" w:hAnsi="Times New Roman" w:cs="Times New Roman"/>
                <w:sz w:val="22"/>
                <w:szCs w:val="22"/>
                <w:lang w:val="lv-LV" w:bidi="lv-LV"/>
              </w:rPr>
              <w:t>tirdzniecības intervāla</w:t>
            </w:r>
            <w:r w:rsidRPr="00A13CCA">
              <w:rPr>
                <w:rFonts w:ascii="Times New Roman" w:eastAsia="Times New Roman" w:hAnsi="Times New Roman" w:cs="Times New Roman"/>
                <w:sz w:val="22"/>
                <w:szCs w:val="22"/>
                <w:lang w:val="lv-LV" w:bidi="lv-LV"/>
              </w:rPr>
              <w:t xml:space="preserve"> ietvaros, t. i., solījumu 2 var aktivizēt tikai tad, ja ir aktivizēts solījums 1. Ja solījums 1 nav aktivizēts, solījums 2 nav pieejams. Balansēšanas enerģijas solījumu sasaistīšana ir vienvirziena.</w:t>
            </w:r>
          </w:p>
          <w:p w14:paraId="520D3260" w14:textId="77777777" w:rsidR="0022311A" w:rsidRPr="00A13CCA" w:rsidRDefault="0022311A" w:rsidP="0022311A">
            <w:pPr>
              <w:pStyle w:val="Caption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22311A" w:rsidRPr="0022311A" w14:paraId="7E53E89B" w14:textId="77777777" w:rsidTr="0022311A">
        <w:trPr>
          <w:trHeight w:val="1489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B7F9" w14:textId="77777777" w:rsidR="0022311A" w:rsidRPr="00A13CCA" w:rsidRDefault="0022311A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 xml:space="preserve">Norēķinu daudzuma noteikšana: nepieciešamais piegādes sākuma laiks, rīkojuma beigu laiks. 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D480" w14:textId="77777777" w:rsidR="0022311A" w:rsidRPr="00A13CCA" w:rsidRDefault="0022311A" w:rsidP="0022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Bloka produkts starp nepieciešamo piegādes sākumu un pasūtījuma beigu laiku.</w:t>
            </w:r>
          </w:p>
          <w:p w14:paraId="525E14E1" w14:textId="77777777" w:rsidR="0022311A" w:rsidRPr="00A13CCA" w:rsidRDefault="0022311A" w:rsidP="0022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Enerģija tiek noteikta ar 0,001 MWh precizitāti</w:t>
            </w:r>
          </w:p>
        </w:tc>
      </w:tr>
      <w:tr w:rsidR="0022311A" w:rsidRPr="0022311A" w14:paraId="6DCCC81E" w14:textId="77777777" w:rsidTr="0022311A">
        <w:trPr>
          <w:trHeight w:val="811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7F96" w14:textId="77777777" w:rsidR="0022311A" w:rsidRPr="00A13CCA" w:rsidRDefault="0022311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Balansēšanas enerģijas tirgus slēgšanas laiks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9B12" w14:textId="048B3DC2" w:rsidR="0022311A" w:rsidRPr="00A13CCA" w:rsidRDefault="0022311A" w:rsidP="0022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13CCA">
              <w:rPr>
                <w:rFonts w:ascii="Times New Roman" w:eastAsia="Times New Roman" w:hAnsi="Times New Roman" w:cs="Times New Roman"/>
                <w:sz w:val="22"/>
                <w:lang w:bidi="lv-LV"/>
              </w:rPr>
              <w:t>H-45 min</w:t>
            </w:r>
          </w:p>
        </w:tc>
      </w:tr>
      <w:tr w:rsidR="0022311A" w:rsidRPr="0022311A" w14:paraId="2C45A3F3" w14:textId="77777777" w:rsidTr="0022311A">
        <w:trPr>
          <w:trHeight w:val="113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2B25" w14:textId="77777777" w:rsidR="0022311A" w:rsidRPr="0022311A" w:rsidRDefault="0022311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22311A">
              <w:rPr>
                <w:rFonts w:ascii="Times New Roman" w:eastAsia="Times New Roman" w:hAnsi="Times New Roman" w:cs="Times New Roman"/>
                <w:sz w:val="22"/>
                <w:lang w:bidi="lv-LV"/>
              </w:rPr>
              <w:t>Solījumu noteiktība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A842" w14:textId="64F6D92A" w:rsidR="0022311A" w:rsidRPr="0022311A" w:rsidRDefault="0022311A" w:rsidP="00EA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2311A">
              <w:rPr>
                <w:rFonts w:ascii="Times New Roman" w:eastAsia="Times New Roman" w:hAnsi="Times New Roman" w:cs="Times New Roman"/>
                <w:sz w:val="22"/>
                <w:lang w:bidi="lv-LV"/>
              </w:rPr>
              <w:t xml:space="preserve">Visi saņemtie solījumi ir noteikti (fiksēti). </w:t>
            </w:r>
            <w:r w:rsidR="00EA2508" w:rsidRPr="00E52767">
              <w:rPr>
                <w:rFonts w:eastAsia="Times New Roman"/>
                <w:sz w:val="22"/>
                <w:lang w:bidi="lv-LV"/>
              </w:rPr>
              <w:t>RPS</w:t>
            </w:r>
            <w:r w:rsidR="00EA2508" w:rsidRPr="0022311A">
              <w:rPr>
                <w:rFonts w:ascii="Times New Roman" w:eastAsia="Times New Roman" w:hAnsi="Times New Roman" w:cs="Times New Roman"/>
                <w:sz w:val="22"/>
                <w:lang w:bidi="lv-LV"/>
              </w:rPr>
              <w:t xml:space="preserve"> </w:t>
            </w:r>
            <w:r w:rsidRPr="0022311A">
              <w:rPr>
                <w:rFonts w:ascii="Times New Roman" w:eastAsia="Times New Roman" w:hAnsi="Times New Roman" w:cs="Times New Roman"/>
                <w:sz w:val="22"/>
                <w:lang w:bidi="lv-LV"/>
              </w:rPr>
              <w:t>ir pienākums informēt PSO, ja rodas neplānoti tehniskie ierobežojumi solījumu izpildē pēc balansēšanas enerģijas tirgus slēgšanas laika, bet ne vēlāk kā aktivizācijas rīkojuma iesniegšanas brīdī.</w:t>
            </w:r>
          </w:p>
        </w:tc>
      </w:tr>
    </w:tbl>
    <w:p w14:paraId="204BA67F" w14:textId="16CA74A1" w:rsidR="0022311A" w:rsidRPr="000C04F5" w:rsidRDefault="0022311A" w:rsidP="000C04F5">
      <w:pPr>
        <w:spacing w:after="0" w:line="240" w:lineRule="auto"/>
        <w:rPr>
          <w:b/>
          <w:szCs w:val="24"/>
        </w:rPr>
      </w:pPr>
      <w:r w:rsidRPr="000C04F5">
        <w:rPr>
          <w:sz w:val="22"/>
        </w:rPr>
        <w:br w:type="page"/>
      </w:r>
    </w:p>
    <w:p w14:paraId="342B9144" w14:textId="77777777" w:rsidR="0022311A" w:rsidRDefault="0022311A" w:rsidP="0022311A">
      <w:pPr>
        <w:pStyle w:val="ListParagraph"/>
        <w:spacing w:after="0" w:line="240" w:lineRule="auto"/>
        <w:ind w:left="142"/>
        <w:jc w:val="right"/>
        <w:rPr>
          <w:szCs w:val="24"/>
        </w:rPr>
        <w:sectPr w:rsidR="0022311A" w:rsidSect="006B69D8">
          <w:footerReference w:type="default" r:id="rId8"/>
          <w:pgSz w:w="11906" w:h="16838"/>
          <w:pgMar w:top="851" w:right="1274" w:bottom="284" w:left="1701" w:header="709" w:footer="567" w:gutter="0"/>
          <w:cols w:space="708"/>
          <w:docGrid w:linePitch="360"/>
        </w:sectPr>
      </w:pPr>
    </w:p>
    <w:p w14:paraId="34D17E40" w14:textId="77777777" w:rsidR="000C04F5" w:rsidRPr="0022311A" w:rsidRDefault="000C04F5" w:rsidP="000C04F5">
      <w:pPr>
        <w:pStyle w:val="ListParagraph"/>
        <w:spacing w:after="0" w:line="240" w:lineRule="auto"/>
        <w:ind w:left="709"/>
        <w:jc w:val="right"/>
        <w:rPr>
          <w:b/>
          <w:szCs w:val="24"/>
        </w:rPr>
      </w:pPr>
      <w:r w:rsidRPr="0022311A">
        <w:rPr>
          <w:b/>
          <w:sz w:val="22"/>
        </w:rPr>
        <w:lastRenderedPageBreak/>
        <w:t>2</w:t>
      </w:r>
      <w:r w:rsidRPr="0022311A">
        <w:rPr>
          <w:b/>
          <w:szCs w:val="24"/>
        </w:rPr>
        <w:t>. Pielikums</w:t>
      </w:r>
    </w:p>
    <w:p w14:paraId="6BF73EF8" w14:textId="77777777" w:rsidR="0062273A" w:rsidRDefault="0062273A" w:rsidP="0062273A">
      <w:pPr>
        <w:pStyle w:val="ListParagraph"/>
        <w:spacing w:after="0" w:line="240" w:lineRule="auto"/>
        <w:ind w:left="142"/>
        <w:jc w:val="right"/>
        <w:rPr>
          <w:szCs w:val="24"/>
        </w:rPr>
      </w:pPr>
      <w:r w:rsidRPr="0022311A">
        <w:rPr>
          <w:szCs w:val="24"/>
        </w:rPr>
        <w:t xml:space="preserve">Sistēmas palīgpakalpojuma līguma regulēšanas pakalpojuma sniegšanas noteikumi </w:t>
      </w:r>
    </w:p>
    <w:p w14:paraId="47629CCB" w14:textId="5595B96C" w:rsidR="0062273A" w:rsidRDefault="0062273A" w:rsidP="0062273A">
      <w:pPr>
        <w:pStyle w:val="ListParagraph"/>
        <w:spacing w:after="0" w:line="240" w:lineRule="auto"/>
        <w:ind w:left="142"/>
        <w:jc w:val="right"/>
        <w:rPr>
          <w:szCs w:val="24"/>
        </w:rPr>
      </w:pPr>
      <w:r w:rsidRPr="0022311A">
        <w:rPr>
          <w:szCs w:val="24"/>
        </w:rPr>
        <w:t>(apstiprināt</w:t>
      </w:r>
      <w:r>
        <w:rPr>
          <w:szCs w:val="24"/>
        </w:rPr>
        <w:t xml:space="preserve">i ar AS “Augstsprieguma tīkls” </w:t>
      </w:r>
      <w:r w:rsidRPr="0062273A">
        <w:rPr>
          <w:szCs w:val="24"/>
        </w:rPr>
        <w:t>valdes 20.12.2017. lēmumu Nr. 169/58</w:t>
      </w:r>
      <w:r w:rsidRPr="0022311A">
        <w:rPr>
          <w:szCs w:val="24"/>
        </w:rPr>
        <w:t>)</w:t>
      </w:r>
    </w:p>
    <w:p w14:paraId="3BED4BDC" w14:textId="1DCFBEDA" w:rsidR="0022311A" w:rsidRDefault="0022311A" w:rsidP="0022311A">
      <w:pPr>
        <w:pStyle w:val="ListParagraph"/>
        <w:spacing w:after="0" w:line="240" w:lineRule="auto"/>
        <w:ind w:left="142"/>
        <w:jc w:val="right"/>
        <w:rPr>
          <w:szCs w:val="24"/>
        </w:rPr>
      </w:pPr>
    </w:p>
    <w:p w14:paraId="22125366" w14:textId="77777777" w:rsidR="007B590D" w:rsidRPr="007B590D" w:rsidRDefault="007B590D" w:rsidP="000C04F5">
      <w:pPr>
        <w:spacing w:after="0"/>
        <w:contextualSpacing/>
        <w:jc w:val="center"/>
        <w:rPr>
          <w:b/>
          <w:sz w:val="22"/>
        </w:rPr>
      </w:pPr>
      <w:r w:rsidRPr="007B590D">
        <w:rPr>
          <w:b/>
          <w:sz w:val="22"/>
        </w:rPr>
        <w:t xml:space="preserve">Forma regulēšanas jaudas piedāvājumam </w:t>
      </w:r>
    </w:p>
    <w:p w14:paraId="636152EC" w14:textId="255F93A2" w:rsidR="00B83C96" w:rsidRDefault="0022311A" w:rsidP="000C04F5">
      <w:pPr>
        <w:spacing w:after="0"/>
        <w:contextualSpacing/>
        <w:jc w:val="center"/>
        <w:rPr>
          <w:sz w:val="22"/>
        </w:rPr>
      </w:pPr>
      <w:r w:rsidRPr="0022311A">
        <w:rPr>
          <w:sz w:val="22"/>
        </w:rPr>
        <w:t>Elektroniska pa</w:t>
      </w:r>
      <w:r>
        <w:rPr>
          <w:sz w:val="22"/>
        </w:rPr>
        <w:t xml:space="preserve">stā Subject: "RPS"_Regulesana // </w:t>
      </w:r>
      <w:r w:rsidRPr="0022311A">
        <w:rPr>
          <w:sz w:val="22"/>
        </w:rPr>
        <w:t>Faila nosaukums: "RPS"_Reg_DD.MM.YYYY.xlsx</w:t>
      </w:r>
    </w:p>
    <w:p w14:paraId="5EAF73E8" w14:textId="1666D56D" w:rsidR="0062273A" w:rsidRDefault="0062273A" w:rsidP="000C04F5">
      <w:pPr>
        <w:spacing w:after="0"/>
        <w:contextualSpacing/>
        <w:jc w:val="center"/>
        <w:rPr>
          <w:sz w:val="22"/>
        </w:rPr>
      </w:pPr>
      <w:r w:rsidRPr="00255EC3">
        <w:drawing>
          <wp:inline distT="0" distB="0" distL="0" distR="0" wp14:anchorId="021666DB" wp14:editId="6D957EF8">
            <wp:extent cx="7806520" cy="4757212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490" cy="47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2ECB0" w14:textId="08391A59" w:rsidR="000C04F5" w:rsidRDefault="000C04F5" w:rsidP="0022311A">
      <w:pPr>
        <w:spacing w:after="0"/>
        <w:contextualSpacing/>
        <w:rPr>
          <w:sz w:val="22"/>
        </w:rPr>
        <w:sectPr w:rsidR="000C04F5" w:rsidSect="0022311A">
          <w:pgSz w:w="16838" w:h="11906" w:orient="landscape"/>
          <w:pgMar w:top="1135" w:right="851" w:bottom="1274" w:left="284" w:header="709" w:footer="567" w:gutter="0"/>
          <w:cols w:space="708"/>
          <w:docGrid w:linePitch="360"/>
        </w:sectPr>
      </w:pPr>
    </w:p>
    <w:p w14:paraId="2C0BF803" w14:textId="40AC81FA" w:rsidR="000C04F5" w:rsidRPr="0022311A" w:rsidRDefault="000C04F5" w:rsidP="000C04F5">
      <w:pPr>
        <w:pStyle w:val="ListParagraph"/>
        <w:spacing w:after="0" w:line="240" w:lineRule="auto"/>
        <w:ind w:left="709"/>
        <w:jc w:val="right"/>
        <w:rPr>
          <w:b/>
          <w:szCs w:val="24"/>
        </w:rPr>
      </w:pPr>
      <w:r>
        <w:rPr>
          <w:b/>
          <w:szCs w:val="24"/>
        </w:rPr>
        <w:lastRenderedPageBreak/>
        <w:t>3</w:t>
      </w:r>
      <w:r w:rsidRPr="0022311A">
        <w:rPr>
          <w:b/>
          <w:szCs w:val="24"/>
        </w:rPr>
        <w:t>. Pielikums</w:t>
      </w:r>
    </w:p>
    <w:p w14:paraId="78C781B9" w14:textId="77777777" w:rsidR="0062273A" w:rsidRDefault="0062273A" w:rsidP="0062273A">
      <w:pPr>
        <w:pStyle w:val="ListParagraph"/>
        <w:spacing w:after="0" w:line="240" w:lineRule="auto"/>
        <w:ind w:left="142"/>
        <w:jc w:val="right"/>
        <w:rPr>
          <w:szCs w:val="24"/>
        </w:rPr>
      </w:pPr>
      <w:r w:rsidRPr="0022311A">
        <w:rPr>
          <w:szCs w:val="24"/>
        </w:rPr>
        <w:t xml:space="preserve">Sistēmas palīgpakalpojuma līguma regulēšanas pakalpojuma sniegšanas noteikumi </w:t>
      </w:r>
    </w:p>
    <w:p w14:paraId="1F227BCC" w14:textId="3A5F658C" w:rsidR="0062273A" w:rsidRDefault="0062273A" w:rsidP="0062273A">
      <w:pPr>
        <w:pStyle w:val="ListParagraph"/>
        <w:spacing w:after="0" w:line="240" w:lineRule="auto"/>
        <w:ind w:left="142"/>
        <w:jc w:val="right"/>
        <w:rPr>
          <w:szCs w:val="24"/>
        </w:rPr>
      </w:pPr>
      <w:r w:rsidRPr="0022311A">
        <w:rPr>
          <w:szCs w:val="24"/>
        </w:rPr>
        <w:t>(apstiprināt</w:t>
      </w:r>
      <w:r>
        <w:rPr>
          <w:szCs w:val="24"/>
        </w:rPr>
        <w:t xml:space="preserve">i ar AS “Augstsprieguma tīkls” </w:t>
      </w:r>
      <w:r w:rsidRPr="0062273A">
        <w:rPr>
          <w:szCs w:val="24"/>
        </w:rPr>
        <w:t>valdes 20.12.2017. lēmumu Nr. 169/58</w:t>
      </w:r>
      <w:r w:rsidRPr="0022311A">
        <w:rPr>
          <w:szCs w:val="24"/>
        </w:rPr>
        <w:t>)</w:t>
      </w:r>
    </w:p>
    <w:p w14:paraId="4790725A" w14:textId="7BF223DF" w:rsidR="000C04F5" w:rsidRDefault="000C04F5" w:rsidP="007B590D">
      <w:pPr>
        <w:spacing w:after="180" w:line="240" w:lineRule="auto"/>
        <w:jc w:val="center"/>
        <w:rPr>
          <w:b/>
          <w:szCs w:val="24"/>
        </w:rPr>
      </w:pPr>
      <w:r>
        <w:rPr>
          <w:b/>
          <w:szCs w:val="24"/>
        </w:rPr>
        <w:t>PSO dispečera dotās regulēšanas produkta aktivizācijas un de</w:t>
      </w:r>
      <w:r w:rsidR="007F244A">
        <w:rPr>
          <w:b/>
          <w:szCs w:val="24"/>
        </w:rPr>
        <w:t>z</w:t>
      </w:r>
      <w:r>
        <w:rPr>
          <w:b/>
          <w:szCs w:val="24"/>
        </w:rPr>
        <w:t>aktivizācijas komandas forma</w:t>
      </w:r>
    </w:p>
    <w:p w14:paraId="6F862BE9" w14:textId="600ADFBA" w:rsidR="000C04F5" w:rsidRPr="000C04F5" w:rsidRDefault="000C04F5" w:rsidP="00E73D8A">
      <w:pPr>
        <w:pStyle w:val="ListParagraph"/>
        <w:numPr>
          <w:ilvl w:val="0"/>
          <w:numId w:val="5"/>
        </w:numPr>
        <w:rPr>
          <w:szCs w:val="24"/>
        </w:rPr>
      </w:pPr>
      <w:r>
        <w:rPr>
          <w:bCs/>
          <w:szCs w:val="24"/>
        </w:rPr>
        <w:t>Forma regulēšanas jaudas aktivizācijas komandai</w:t>
      </w:r>
    </w:p>
    <w:p w14:paraId="333FD7A0" w14:textId="77777777" w:rsidR="000C04F5" w:rsidRDefault="000C04F5" w:rsidP="000C04F5">
      <w:pPr>
        <w:rPr>
          <w:szCs w:val="24"/>
        </w:rPr>
      </w:pPr>
      <w:r>
        <w:rPr>
          <w:szCs w:val="24"/>
        </w:rPr>
        <w:t xml:space="preserve">Formas piemērā attēlots pieprasījums elektroenerģijas tirgus dalībniekam aktivizēt regulējošo jaudu uz noslodzi 10 MW apmērā 2016.gada 2.novembrī no 13:00 līdz 14:00.  </w:t>
      </w:r>
    </w:p>
    <w:p w14:paraId="333FDFAE" w14:textId="77777777" w:rsidR="000C04F5" w:rsidRDefault="000C04F5" w:rsidP="000C04F5">
      <w:pPr>
        <w:autoSpaceDE w:val="0"/>
        <w:autoSpaceDN w:val="0"/>
        <w:adjustRightInd w:val="0"/>
        <w:spacing w:after="0" w:line="240" w:lineRule="auto"/>
        <w:ind w:left="1440" w:hanging="1440"/>
        <w:rPr>
          <w:color w:val="000000"/>
          <w:szCs w:val="24"/>
        </w:rPr>
      </w:pPr>
      <w:r>
        <w:rPr>
          <w:color w:val="5F5F5F"/>
          <w:szCs w:val="24"/>
        </w:rPr>
        <w:t>From:</w:t>
      </w:r>
      <w:r>
        <w:rPr>
          <w:color w:val="5F5F5F"/>
          <w:szCs w:val="24"/>
        </w:rPr>
        <w:tab/>
      </w:r>
      <w:r>
        <w:rPr>
          <w:color w:val="000000"/>
          <w:szCs w:val="24"/>
        </w:rPr>
        <w:t>"AST_dispeceri" &lt;dispeceri@ast.lv&gt;</w:t>
      </w:r>
    </w:p>
    <w:p w14:paraId="3474E5C9" w14:textId="77777777" w:rsidR="000C04F5" w:rsidRDefault="000C04F5" w:rsidP="000C04F5">
      <w:pPr>
        <w:autoSpaceDE w:val="0"/>
        <w:autoSpaceDN w:val="0"/>
        <w:adjustRightInd w:val="0"/>
        <w:spacing w:after="0" w:line="240" w:lineRule="auto"/>
        <w:ind w:left="1440" w:hanging="1440"/>
        <w:rPr>
          <w:color w:val="000000"/>
          <w:szCs w:val="24"/>
        </w:rPr>
      </w:pPr>
      <w:r>
        <w:rPr>
          <w:color w:val="5F5F5F"/>
          <w:szCs w:val="24"/>
        </w:rPr>
        <w:t>To:</w:t>
      </w:r>
      <w:r>
        <w:rPr>
          <w:color w:val="5F5F5F"/>
          <w:szCs w:val="24"/>
        </w:rPr>
        <w:tab/>
        <w:t>[elektroenerģijas tirgus dalībnieka e-pasta adrese]</w:t>
      </w:r>
    </w:p>
    <w:p w14:paraId="03A0261E" w14:textId="77777777" w:rsidR="000C04F5" w:rsidRDefault="000C04F5" w:rsidP="000C04F5">
      <w:pPr>
        <w:autoSpaceDE w:val="0"/>
        <w:autoSpaceDN w:val="0"/>
        <w:adjustRightInd w:val="0"/>
        <w:spacing w:after="0" w:line="240" w:lineRule="auto"/>
        <w:ind w:left="1440" w:hanging="1440"/>
        <w:rPr>
          <w:color w:val="000000"/>
          <w:szCs w:val="24"/>
        </w:rPr>
      </w:pPr>
      <w:r>
        <w:rPr>
          <w:color w:val="5F5F5F"/>
          <w:szCs w:val="24"/>
        </w:rPr>
        <w:t>Date:</w:t>
      </w:r>
      <w:r>
        <w:rPr>
          <w:color w:val="5F5F5F"/>
          <w:szCs w:val="24"/>
        </w:rPr>
        <w:tab/>
      </w:r>
      <w:r>
        <w:rPr>
          <w:color w:val="000000"/>
          <w:szCs w:val="24"/>
        </w:rPr>
        <w:t>02.11.2016 13:00</w:t>
      </w:r>
    </w:p>
    <w:p w14:paraId="31E2F510" w14:textId="77777777" w:rsidR="000C04F5" w:rsidRDefault="000C04F5" w:rsidP="000C04F5">
      <w:pPr>
        <w:autoSpaceDE w:val="0"/>
        <w:autoSpaceDN w:val="0"/>
        <w:adjustRightInd w:val="0"/>
        <w:spacing w:after="0" w:line="240" w:lineRule="auto"/>
        <w:ind w:left="1440" w:hanging="1440"/>
        <w:rPr>
          <w:color w:val="000000"/>
          <w:szCs w:val="24"/>
        </w:rPr>
      </w:pPr>
      <w:r>
        <w:rPr>
          <w:color w:val="5F5F5F"/>
          <w:szCs w:val="24"/>
        </w:rPr>
        <w:t>Subject:</w:t>
      </w:r>
      <w:r>
        <w:rPr>
          <w:color w:val="5F5F5F"/>
          <w:szCs w:val="24"/>
        </w:rPr>
        <w:tab/>
      </w:r>
      <w:r>
        <w:rPr>
          <w:color w:val="000000"/>
          <w:szCs w:val="24"/>
        </w:rPr>
        <w:t>(02-11-2016 h 13 - 14 Regulēšana uz noslodzi, pakalpojuma pieprasījums  ETD-&gt;AST</w:t>
      </w:r>
    </w:p>
    <w:p w14:paraId="6AE02813" w14:textId="77777777" w:rsidR="000C04F5" w:rsidRDefault="000C04F5" w:rsidP="000C04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14:paraId="0503EF03" w14:textId="658621FC" w:rsidR="000C04F5" w:rsidRDefault="000C04F5" w:rsidP="000C04F5">
      <w:pPr>
        <w:rPr>
          <w:b/>
          <w:bCs/>
          <w:szCs w:val="24"/>
        </w:rPr>
      </w:pPr>
      <w:r>
        <w:rPr>
          <w:color w:val="000000"/>
          <w:szCs w:val="24"/>
        </w:rPr>
        <w:t>02-11-2016 h 13 - 14 Aktivēt regulējošo jaudu uz noslodzi  ETD-&gt;AST</w:t>
      </w:r>
      <w:r>
        <w:rPr>
          <w:b/>
          <w:bCs/>
          <w:color w:val="000000"/>
          <w:szCs w:val="24"/>
        </w:rPr>
        <w:br/>
        <w:t>10MW     sākot no    13:00     līdz    13:60</w:t>
      </w:r>
      <w:r>
        <w:rPr>
          <w:bCs/>
          <w:szCs w:val="24"/>
        </w:rPr>
        <w:t>, kur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ETD - elektroenerģijas tirgus dalībnieka saīsināts nosaukums.</w:t>
      </w:r>
    </w:p>
    <w:p w14:paraId="02F4F41A" w14:textId="77777777" w:rsidR="000C04F5" w:rsidRDefault="000C04F5" w:rsidP="00E73D8A">
      <w:pPr>
        <w:pStyle w:val="ListParagraph"/>
        <w:numPr>
          <w:ilvl w:val="0"/>
          <w:numId w:val="5"/>
        </w:numPr>
        <w:rPr>
          <w:b/>
          <w:bCs/>
          <w:szCs w:val="24"/>
        </w:rPr>
      </w:pPr>
      <w:r>
        <w:rPr>
          <w:bCs/>
          <w:szCs w:val="24"/>
        </w:rPr>
        <w:t>Forma saņemtās jaudas aktivizācijas komandas apstiprināšanai:</w:t>
      </w:r>
    </w:p>
    <w:p w14:paraId="1A875AB5" w14:textId="77777777" w:rsidR="000C04F5" w:rsidRDefault="000C04F5" w:rsidP="000C04F5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>
        <w:rPr>
          <w:color w:val="5F5F5F"/>
          <w:szCs w:val="24"/>
        </w:rPr>
        <w:t>From:</w:t>
      </w:r>
      <w:r>
        <w:rPr>
          <w:color w:val="5F5F5F"/>
          <w:szCs w:val="24"/>
        </w:rPr>
        <w:tab/>
        <w:t>[elektroenerģijas tirgus dalībnieka e-pasta adrese]</w:t>
      </w:r>
    </w:p>
    <w:p w14:paraId="55AF9B9F" w14:textId="77777777" w:rsidR="000C04F5" w:rsidRDefault="000C04F5" w:rsidP="000C04F5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>
        <w:rPr>
          <w:color w:val="5F5F5F"/>
          <w:szCs w:val="24"/>
        </w:rPr>
        <w:t>To:</w:t>
      </w:r>
      <w:r>
        <w:rPr>
          <w:color w:val="5F5F5F"/>
          <w:szCs w:val="24"/>
        </w:rPr>
        <w:tab/>
        <w:t>dispeceri@ast.lv, ast.plan@ast.lv</w:t>
      </w:r>
    </w:p>
    <w:p w14:paraId="4CF21776" w14:textId="77777777" w:rsidR="000C04F5" w:rsidRDefault="000C04F5" w:rsidP="000C04F5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>
        <w:rPr>
          <w:color w:val="5F5F5F"/>
          <w:szCs w:val="24"/>
        </w:rPr>
        <w:t>Date:</w:t>
      </w:r>
      <w:r>
        <w:rPr>
          <w:color w:val="5F5F5F"/>
          <w:szCs w:val="24"/>
        </w:rPr>
        <w:tab/>
      </w:r>
      <w:r>
        <w:rPr>
          <w:color w:val="000000"/>
          <w:szCs w:val="24"/>
        </w:rPr>
        <w:t>02.11.2016 13:00</w:t>
      </w:r>
    </w:p>
    <w:p w14:paraId="7E7AF336" w14:textId="77777777" w:rsidR="000C04F5" w:rsidRDefault="000C04F5" w:rsidP="000C04F5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>
        <w:rPr>
          <w:color w:val="5F5F5F"/>
          <w:szCs w:val="24"/>
        </w:rPr>
        <w:t>Subject:</w:t>
      </w:r>
      <w:r>
        <w:rPr>
          <w:color w:val="5F5F5F"/>
          <w:szCs w:val="24"/>
        </w:rPr>
        <w:tab/>
      </w:r>
      <w:r>
        <w:rPr>
          <w:color w:val="000000"/>
          <w:szCs w:val="24"/>
        </w:rPr>
        <w:t>Re:(02-11-2016 h 13 - 14 Regulēšana uz noslodzi, pakalpojuma pieprasījums  ETD-&gt;AST ACCEPTED</w:t>
      </w:r>
    </w:p>
    <w:p w14:paraId="7668966D" w14:textId="5E97D849" w:rsidR="000C04F5" w:rsidRPr="000C04F5" w:rsidRDefault="000C04F5" w:rsidP="000C04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14:paraId="255FCFFB" w14:textId="77777777" w:rsidR="000C04F5" w:rsidRDefault="000C04F5" w:rsidP="000C04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>Apstiprinu saņemto dispečera komandu.</w:t>
      </w:r>
    </w:p>
    <w:p w14:paraId="7C5C1967" w14:textId="77777777" w:rsidR="000C04F5" w:rsidRPr="003A2B23" w:rsidRDefault="000C04F5" w:rsidP="003A2B2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14:paraId="77DCCC50" w14:textId="7FE63493" w:rsidR="000C04F5" w:rsidRPr="000C04F5" w:rsidRDefault="000C04F5" w:rsidP="000C04F5">
      <w:pPr>
        <w:rPr>
          <w:color w:val="000000"/>
          <w:szCs w:val="24"/>
        </w:rPr>
      </w:pPr>
      <w:r>
        <w:rPr>
          <w:color w:val="000000"/>
          <w:szCs w:val="24"/>
        </w:rPr>
        <w:t>02-11-2016 h 13 - 14 Aktivēt regulējošo jaudu uz noslodzi  ETD-&gt;AST</w:t>
      </w:r>
      <w:r>
        <w:rPr>
          <w:b/>
          <w:bCs/>
          <w:color w:val="000000"/>
          <w:szCs w:val="24"/>
        </w:rPr>
        <w:br/>
        <w:t>10MW     sākot no    13:00     līdz    13:60</w:t>
      </w:r>
    </w:p>
    <w:p w14:paraId="6C972181" w14:textId="71203BF0" w:rsidR="000C04F5" w:rsidRDefault="000C04F5" w:rsidP="00E73D8A">
      <w:pPr>
        <w:pStyle w:val="ListParagraph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 xml:space="preserve">Forma regulēšanas jaudas </w:t>
      </w:r>
      <w:r w:rsidR="003A2B23">
        <w:rPr>
          <w:bCs/>
          <w:szCs w:val="24"/>
        </w:rPr>
        <w:t xml:space="preserve">dezaktivizācijas </w:t>
      </w:r>
      <w:r>
        <w:rPr>
          <w:bCs/>
          <w:szCs w:val="24"/>
        </w:rPr>
        <w:t>komandai</w:t>
      </w:r>
    </w:p>
    <w:p w14:paraId="7CED4938" w14:textId="77777777" w:rsidR="000C04F5" w:rsidRDefault="000C04F5" w:rsidP="000C04F5">
      <w:pPr>
        <w:autoSpaceDE w:val="0"/>
        <w:autoSpaceDN w:val="0"/>
        <w:adjustRightInd w:val="0"/>
        <w:spacing w:after="0" w:line="240" w:lineRule="auto"/>
        <w:ind w:left="1440" w:hanging="1440"/>
        <w:rPr>
          <w:color w:val="000000"/>
          <w:szCs w:val="24"/>
        </w:rPr>
      </w:pPr>
      <w:r>
        <w:rPr>
          <w:color w:val="5F5F5F"/>
          <w:szCs w:val="24"/>
        </w:rPr>
        <w:t>From:</w:t>
      </w:r>
      <w:r>
        <w:rPr>
          <w:color w:val="5F5F5F"/>
          <w:szCs w:val="24"/>
        </w:rPr>
        <w:tab/>
      </w:r>
      <w:r>
        <w:rPr>
          <w:color w:val="000000"/>
          <w:szCs w:val="24"/>
        </w:rPr>
        <w:t>"AST_dispeceri" &lt;dispeceri@ast.lv&gt;</w:t>
      </w:r>
    </w:p>
    <w:p w14:paraId="361EF72F" w14:textId="77777777" w:rsidR="000C04F5" w:rsidRDefault="000C04F5" w:rsidP="000C04F5">
      <w:pPr>
        <w:autoSpaceDE w:val="0"/>
        <w:autoSpaceDN w:val="0"/>
        <w:adjustRightInd w:val="0"/>
        <w:spacing w:after="0" w:line="240" w:lineRule="auto"/>
        <w:ind w:left="1440" w:hanging="1440"/>
        <w:rPr>
          <w:color w:val="000000"/>
          <w:szCs w:val="24"/>
        </w:rPr>
      </w:pPr>
      <w:r>
        <w:rPr>
          <w:color w:val="5F5F5F"/>
          <w:szCs w:val="24"/>
        </w:rPr>
        <w:t>To:</w:t>
      </w:r>
      <w:r>
        <w:rPr>
          <w:color w:val="5F5F5F"/>
          <w:szCs w:val="24"/>
        </w:rPr>
        <w:tab/>
        <w:t>[elektroenerģijas tirgus dalībnieka e-pasta adrese]</w:t>
      </w:r>
    </w:p>
    <w:p w14:paraId="5CFD9A11" w14:textId="77777777" w:rsidR="000C04F5" w:rsidRDefault="000C04F5" w:rsidP="000C04F5">
      <w:pPr>
        <w:autoSpaceDE w:val="0"/>
        <w:autoSpaceDN w:val="0"/>
        <w:adjustRightInd w:val="0"/>
        <w:spacing w:after="0" w:line="240" w:lineRule="auto"/>
        <w:ind w:left="1440" w:hanging="1440"/>
        <w:rPr>
          <w:color w:val="000000"/>
          <w:szCs w:val="24"/>
        </w:rPr>
      </w:pPr>
      <w:r>
        <w:rPr>
          <w:color w:val="5F5F5F"/>
          <w:szCs w:val="24"/>
        </w:rPr>
        <w:t>Date:</w:t>
      </w:r>
      <w:r>
        <w:rPr>
          <w:color w:val="5F5F5F"/>
          <w:szCs w:val="24"/>
        </w:rPr>
        <w:tab/>
      </w:r>
      <w:r>
        <w:rPr>
          <w:color w:val="000000"/>
          <w:szCs w:val="24"/>
        </w:rPr>
        <w:t>02.11.2016 13:30</w:t>
      </w:r>
    </w:p>
    <w:p w14:paraId="080C6FC5" w14:textId="77777777" w:rsidR="000C04F5" w:rsidRDefault="000C04F5" w:rsidP="000C04F5">
      <w:pPr>
        <w:autoSpaceDE w:val="0"/>
        <w:autoSpaceDN w:val="0"/>
        <w:adjustRightInd w:val="0"/>
        <w:spacing w:after="0" w:line="240" w:lineRule="auto"/>
        <w:ind w:left="1440" w:hanging="1440"/>
        <w:rPr>
          <w:color w:val="000000"/>
          <w:szCs w:val="24"/>
        </w:rPr>
      </w:pPr>
      <w:r>
        <w:rPr>
          <w:color w:val="5F5F5F"/>
          <w:szCs w:val="24"/>
        </w:rPr>
        <w:t>Subject:</w:t>
      </w:r>
      <w:r>
        <w:rPr>
          <w:color w:val="5F5F5F"/>
          <w:szCs w:val="24"/>
        </w:rPr>
        <w:tab/>
      </w:r>
      <w:r>
        <w:rPr>
          <w:color w:val="000000"/>
          <w:szCs w:val="24"/>
        </w:rPr>
        <w:t>(02-11-2016 h 13 – 13:30 Regulēšana uz noslodzi, pakalpojuma pieprasījums  ETD-&gt;AST</w:t>
      </w:r>
    </w:p>
    <w:p w14:paraId="10ADBB5C" w14:textId="77777777" w:rsidR="000C04F5" w:rsidRDefault="000C04F5" w:rsidP="000C04F5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14:paraId="73F963F4" w14:textId="7063B4C0" w:rsidR="000C04F5" w:rsidRDefault="000C04F5" w:rsidP="000C04F5">
      <w:pPr>
        <w:pStyle w:val="ListParagraph"/>
        <w:ind w:left="0"/>
        <w:rPr>
          <w:b/>
          <w:bCs/>
          <w:szCs w:val="24"/>
        </w:rPr>
      </w:pPr>
      <w:r>
        <w:rPr>
          <w:color w:val="000000"/>
          <w:szCs w:val="24"/>
        </w:rPr>
        <w:t>02-11-2016 h 13 - 14 Aktivēt regulējošo jaudu uz noslodzi  ETD-&gt;AST</w:t>
      </w:r>
      <w:r>
        <w:rPr>
          <w:b/>
          <w:bCs/>
          <w:color w:val="000000"/>
          <w:szCs w:val="24"/>
        </w:rPr>
        <w:br/>
        <w:t>10MW     sākot no    13:00     līdz    13:30</w:t>
      </w:r>
      <w:r>
        <w:rPr>
          <w:bCs/>
          <w:szCs w:val="24"/>
        </w:rPr>
        <w:t>,</w:t>
      </w:r>
    </w:p>
    <w:p w14:paraId="417C75EF" w14:textId="7CF1E7F7" w:rsidR="000C04F5" w:rsidRDefault="000C04F5" w:rsidP="000C04F5">
      <w:pPr>
        <w:pStyle w:val="ListParagraph"/>
        <w:ind w:left="0"/>
        <w:rPr>
          <w:b/>
          <w:bCs/>
          <w:szCs w:val="24"/>
        </w:rPr>
      </w:pPr>
      <w:r>
        <w:rPr>
          <w:b/>
          <w:bCs/>
          <w:color w:val="000000"/>
          <w:szCs w:val="24"/>
        </w:rPr>
        <w:br/>
      </w:r>
      <w:r>
        <w:rPr>
          <w:bCs/>
          <w:szCs w:val="24"/>
        </w:rPr>
        <w:t xml:space="preserve">IV. Forma saņemtās jaudas </w:t>
      </w:r>
      <w:r w:rsidR="003A2B23">
        <w:rPr>
          <w:bCs/>
          <w:szCs w:val="24"/>
        </w:rPr>
        <w:t>dez</w:t>
      </w:r>
      <w:r>
        <w:rPr>
          <w:bCs/>
          <w:szCs w:val="24"/>
        </w:rPr>
        <w:t>aktivizācijas komandas apstiprināšanai:</w:t>
      </w:r>
    </w:p>
    <w:p w14:paraId="4F50D199" w14:textId="77777777" w:rsidR="000C04F5" w:rsidRDefault="000C04F5" w:rsidP="000C04F5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>
        <w:rPr>
          <w:color w:val="5F5F5F"/>
          <w:szCs w:val="24"/>
        </w:rPr>
        <w:t>From:</w:t>
      </w:r>
      <w:r>
        <w:rPr>
          <w:color w:val="5F5F5F"/>
          <w:szCs w:val="24"/>
        </w:rPr>
        <w:tab/>
        <w:t>[elektroenerģijas tirgus dalībnieka e-pasta adrese]</w:t>
      </w:r>
    </w:p>
    <w:p w14:paraId="6A85C25B" w14:textId="77777777" w:rsidR="000C04F5" w:rsidRDefault="000C04F5" w:rsidP="000C04F5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>
        <w:rPr>
          <w:color w:val="5F5F5F"/>
          <w:szCs w:val="24"/>
        </w:rPr>
        <w:t>To:</w:t>
      </w:r>
      <w:r>
        <w:rPr>
          <w:color w:val="5F5F5F"/>
          <w:szCs w:val="24"/>
        </w:rPr>
        <w:tab/>
        <w:t>dispeceri@ast.lv, ast.plan@ast.lv</w:t>
      </w:r>
    </w:p>
    <w:p w14:paraId="287E0CDA" w14:textId="77777777" w:rsidR="000C04F5" w:rsidRDefault="000C04F5" w:rsidP="000C04F5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>
        <w:rPr>
          <w:color w:val="5F5F5F"/>
          <w:szCs w:val="24"/>
        </w:rPr>
        <w:t>Date:</w:t>
      </w:r>
      <w:r>
        <w:rPr>
          <w:color w:val="5F5F5F"/>
          <w:szCs w:val="24"/>
        </w:rPr>
        <w:tab/>
      </w:r>
      <w:r>
        <w:rPr>
          <w:color w:val="000000"/>
          <w:szCs w:val="24"/>
        </w:rPr>
        <w:t>02.11.2016 13:30</w:t>
      </w:r>
    </w:p>
    <w:p w14:paraId="0A34676D" w14:textId="7DFC197E" w:rsidR="000C04F5" w:rsidRPr="000C04F5" w:rsidRDefault="000C04F5" w:rsidP="000C04F5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>
        <w:rPr>
          <w:color w:val="5F5F5F"/>
          <w:szCs w:val="24"/>
        </w:rPr>
        <w:t>Subject:</w:t>
      </w:r>
      <w:r>
        <w:rPr>
          <w:color w:val="5F5F5F"/>
          <w:szCs w:val="24"/>
        </w:rPr>
        <w:tab/>
      </w:r>
      <w:r>
        <w:rPr>
          <w:color w:val="000000"/>
          <w:szCs w:val="24"/>
        </w:rPr>
        <w:t>Re:(02-11-2016 h 13 – 13:30 Regulēšana uz noslodzi, pakalpojuma pieprasījums  ETD-&gt;AST ACCEPTED</w:t>
      </w:r>
    </w:p>
    <w:p w14:paraId="17708981" w14:textId="77777777" w:rsidR="000C04F5" w:rsidRDefault="000C04F5" w:rsidP="000C04F5">
      <w:pPr>
        <w:pStyle w:val="ListParagraph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14:paraId="43B9952E" w14:textId="532D678B" w:rsidR="000C04F5" w:rsidRPr="000C04F5" w:rsidRDefault="000C04F5" w:rsidP="000C04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>Apstiprinu saņemto dispečera komandu.</w:t>
      </w:r>
      <w:r w:rsidRPr="000C04F5">
        <w:rPr>
          <w:b/>
          <w:sz w:val="22"/>
        </w:rPr>
        <w:tab/>
      </w:r>
      <w:r w:rsidRPr="000C04F5">
        <w:rPr>
          <w:b/>
          <w:sz w:val="22"/>
        </w:rPr>
        <w:tab/>
      </w:r>
    </w:p>
    <w:sectPr w:rsidR="000C04F5" w:rsidRPr="000C04F5" w:rsidSect="000C04F5">
      <w:pgSz w:w="11906" w:h="16838"/>
      <w:pgMar w:top="851" w:right="1274" w:bottom="284" w:left="113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264D5" w14:textId="77777777" w:rsidR="002B7C4A" w:rsidRDefault="002B7C4A" w:rsidP="00F808FD">
      <w:pPr>
        <w:spacing w:after="0" w:line="240" w:lineRule="auto"/>
      </w:pPr>
      <w:r>
        <w:separator/>
      </w:r>
    </w:p>
  </w:endnote>
  <w:endnote w:type="continuationSeparator" w:id="0">
    <w:p w14:paraId="30A59BD4" w14:textId="77777777" w:rsidR="002B7C4A" w:rsidRDefault="002B7C4A" w:rsidP="00F8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AC435" w14:textId="3656379C" w:rsidR="007F244A" w:rsidRDefault="007F244A" w:rsidP="00D438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291D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75B55" w14:textId="77777777" w:rsidR="002B7C4A" w:rsidRDefault="002B7C4A" w:rsidP="00F808FD">
      <w:pPr>
        <w:spacing w:after="0" w:line="240" w:lineRule="auto"/>
      </w:pPr>
      <w:r>
        <w:separator/>
      </w:r>
    </w:p>
  </w:footnote>
  <w:footnote w:type="continuationSeparator" w:id="0">
    <w:p w14:paraId="1E2BBF59" w14:textId="77777777" w:rsidR="002B7C4A" w:rsidRDefault="002B7C4A" w:rsidP="00F80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BC8"/>
    <w:multiLevelType w:val="multilevel"/>
    <w:tmpl w:val="E7E26C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5535781"/>
    <w:multiLevelType w:val="multilevel"/>
    <w:tmpl w:val="5086A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 w15:restartNumberingAfterBreak="0">
    <w:nsid w:val="1E266134"/>
    <w:multiLevelType w:val="hybridMultilevel"/>
    <w:tmpl w:val="D28AB7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85C00"/>
    <w:multiLevelType w:val="hybridMultilevel"/>
    <w:tmpl w:val="E21E2C50"/>
    <w:lvl w:ilvl="0" w:tplc="865CF95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F388B"/>
    <w:multiLevelType w:val="multilevel"/>
    <w:tmpl w:val="5086A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7D2691"/>
    <w:multiLevelType w:val="multilevel"/>
    <w:tmpl w:val="CA5220E0"/>
    <w:lvl w:ilvl="0">
      <w:start w:val="1"/>
      <w:numFmt w:val="decimal"/>
      <w:pStyle w:val="Caption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931017"/>
    <w:multiLevelType w:val="multilevel"/>
    <w:tmpl w:val="0A56E4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7A"/>
    <w:rsid w:val="00002887"/>
    <w:rsid w:val="00003141"/>
    <w:rsid w:val="00006FCC"/>
    <w:rsid w:val="000074AE"/>
    <w:rsid w:val="0001023C"/>
    <w:rsid w:val="000120C6"/>
    <w:rsid w:val="00016E4F"/>
    <w:rsid w:val="000214B9"/>
    <w:rsid w:val="00022CF1"/>
    <w:rsid w:val="00027088"/>
    <w:rsid w:val="000272A7"/>
    <w:rsid w:val="000276E1"/>
    <w:rsid w:val="00031226"/>
    <w:rsid w:val="000313D2"/>
    <w:rsid w:val="00032F6D"/>
    <w:rsid w:val="0004161A"/>
    <w:rsid w:val="0004531E"/>
    <w:rsid w:val="000455CC"/>
    <w:rsid w:val="0004753E"/>
    <w:rsid w:val="000476A0"/>
    <w:rsid w:val="00050A3D"/>
    <w:rsid w:val="00052F72"/>
    <w:rsid w:val="00061546"/>
    <w:rsid w:val="00074DCC"/>
    <w:rsid w:val="00077B74"/>
    <w:rsid w:val="00080E9B"/>
    <w:rsid w:val="0008684E"/>
    <w:rsid w:val="00086F53"/>
    <w:rsid w:val="0009019D"/>
    <w:rsid w:val="00095B78"/>
    <w:rsid w:val="000979A5"/>
    <w:rsid w:val="000A7FC1"/>
    <w:rsid w:val="000B4EDC"/>
    <w:rsid w:val="000B5EEC"/>
    <w:rsid w:val="000C04F5"/>
    <w:rsid w:val="000C0C2A"/>
    <w:rsid w:val="000C6FB7"/>
    <w:rsid w:val="000D1E87"/>
    <w:rsid w:val="000D4FAE"/>
    <w:rsid w:val="000D6F92"/>
    <w:rsid w:val="000E2A7F"/>
    <w:rsid w:val="000E377C"/>
    <w:rsid w:val="000E4DF9"/>
    <w:rsid w:val="000E65AF"/>
    <w:rsid w:val="000F2536"/>
    <w:rsid w:val="000F7D49"/>
    <w:rsid w:val="000F7EC6"/>
    <w:rsid w:val="001021A4"/>
    <w:rsid w:val="0010477D"/>
    <w:rsid w:val="00105925"/>
    <w:rsid w:val="00111560"/>
    <w:rsid w:val="0011301D"/>
    <w:rsid w:val="001130BF"/>
    <w:rsid w:val="00115ADD"/>
    <w:rsid w:val="00121C6A"/>
    <w:rsid w:val="00124671"/>
    <w:rsid w:val="00126529"/>
    <w:rsid w:val="001278A4"/>
    <w:rsid w:val="001332D4"/>
    <w:rsid w:val="00133B91"/>
    <w:rsid w:val="0013533F"/>
    <w:rsid w:val="00136C27"/>
    <w:rsid w:val="0014028F"/>
    <w:rsid w:val="0014280D"/>
    <w:rsid w:val="001429D2"/>
    <w:rsid w:val="00142A0B"/>
    <w:rsid w:val="00146184"/>
    <w:rsid w:val="00150159"/>
    <w:rsid w:val="00156C6A"/>
    <w:rsid w:val="001625C6"/>
    <w:rsid w:val="00164FF9"/>
    <w:rsid w:val="001718D9"/>
    <w:rsid w:val="00171EF5"/>
    <w:rsid w:val="001814B2"/>
    <w:rsid w:val="00184D1D"/>
    <w:rsid w:val="001863E8"/>
    <w:rsid w:val="00187B5B"/>
    <w:rsid w:val="001A1E46"/>
    <w:rsid w:val="001B1A49"/>
    <w:rsid w:val="001C04DB"/>
    <w:rsid w:val="001C2ADF"/>
    <w:rsid w:val="001C3CDA"/>
    <w:rsid w:val="001D44DD"/>
    <w:rsid w:val="001E49F8"/>
    <w:rsid w:val="001F081B"/>
    <w:rsid w:val="001F3FCE"/>
    <w:rsid w:val="001F6A72"/>
    <w:rsid w:val="001F7A7B"/>
    <w:rsid w:val="001F7E89"/>
    <w:rsid w:val="00201C12"/>
    <w:rsid w:val="0020224D"/>
    <w:rsid w:val="002044CF"/>
    <w:rsid w:val="00206A45"/>
    <w:rsid w:val="0020764B"/>
    <w:rsid w:val="0021115A"/>
    <w:rsid w:val="00211745"/>
    <w:rsid w:val="002161A4"/>
    <w:rsid w:val="0022311A"/>
    <w:rsid w:val="002234B8"/>
    <w:rsid w:val="00224393"/>
    <w:rsid w:val="00224F38"/>
    <w:rsid w:val="00230EDB"/>
    <w:rsid w:val="002417D0"/>
    <w:rsid w:val="00244A4A"/>
    <w:rsid w:val="00257905"/>
    <w:rsid w:val="0026397A"/>
    <w:rsid w:val="002649A6"/>
    <w:rsid w:val="00267701"/>
    <w:rsid w:val="00271415"/>
    <w:rsid w:val="002727E0"/>
    <w:rsid w:val="00274832"/>
    <w:rsid w:val="002968EA"/>
    <w:rsid w:val="002A030C"/>
    <w:rsid w:val="002A1209"/>
    <w:rsid w:val="002A2A49"/>
    <w:rsid w:val="002A4530"/>
    <w:rsid w:val="002A46C3"/>
    <w:rsid w:val="002A5800"/>
    <w:rsid w:val="002B2207"/>
    <w:rsid w:val="002B5EBF"/>
    <w:rsid w:val="002B7C4A"/>
    <w:rsid w:val="002C0755"/>
    <w:rsid w:val="002C215B"/>
    <w:rsid w:val="002C3414"/>
    <w:rsid w:val="002D0255"/>
    <w:rsid w:val="002D1433"/>
    <w:rsid w:val="002D4EF8"/>
    <w:rsid w:val="002E18C0"/>
    <w:rsid w:val="002E354D"/>
    <w:rsid w:val="002E722C"/>
    <w:rsid w:val="002F651D"/>
    <w:rsid w:val="00302F35"/>
    <w:rsid w:val="00304694"/>
    <w:rsid w:val="0031173A"/>
    <w:rsid w:val="003128A8"/>
    <w:rsid w:val="00315019"/>
    <w:rsid w:val="0033047F"/>
    <w:rsid w:val="0033115D"/>
    <w:rsid w:val="00331B08"/>
    <w:rsid w:val="00335912"/>
    <w:rsid w:val="00337C2E"/>
    <w:rsid w:val="0034141A"/>
    <w:rsid w:val="003438BF"/>
    <w:rsid w:val="00346174"/>
    <w:rsid w:val="00347B5F"/>
    <w:rsid w:val="003630F6"/>
    <w:rsid w:val="00364835"/>
    <w:rsid w:val="003717CA"/>
    <w:rsid w:val="00372C9C"/>
    <w:rsid w:val="00375E01"/>
    <w:rsid w:val="00385024"/>
    <w:rsid w:val="0038742D"/>
    <w:rsid w:val="00387936"/>
    <w:rsid w:val="00392C19"/>
    <w:rsid w:val="00392C25"/>
    <w:rsid w:val="003954AA"/>
    <w:rsid w:val="003A2B23"/>
    <w:rsid w:val="003B1080"/>
    <w:rsid w:val="003B22DD"/>
    <w:rsid w:val="003B2DB8"/>
    <w:rsid w:val="003B69FB"/>
    <w:rsid w:val="003C11C3"/>
    <w:rsid w:val="003C1D03"/>
    <w:rsid w:val="003C352B"/>
    <w:rsid w:val="003D264D"/>
    <w:rsid w:val="003D54A2"/>
    <w:rsid w:val="003E2BE7"/>
    <w:rsid w:val="003E3328"/>
    <w:rsid w:val="003F05C6"/>
    <w:rsid w:val="003F5CAF"/>
    <w:rsid w:val="003F7DD6"/>
    <w:rsid w:val="004005A6"/>
    <w:rsid w:val="00402FC3"/>
    <w:rsid w:val="00403238"/>
    <w:rsid w:val="00403EB5"/>
    <w:rsid w:val="0040667F"/>
    <w:rsid w:val="004102C3"/>
    <w:rsid w:val="0041055E"/>
    <w:rsid w:val="00410D6F"/>
    <w:rsid w:val="00416E15"/>
    <w:rsid w:val="0042128C"/>
    <w:rsid w:val="004227F2"/>
    <w:rsid w:val="0042679D"/>
    <w:rsid w:val="00431BAA"/>
    <w:rsid w:val="00436787"/>
    <w:rsid w:val="0044003E"/>
    <w:rsid w:val="00442913"/>
    <w:rsid w:val="00450EB2"/>
    <w:rsid w:val="004546FF"/>
    <w:rsid w:val="00456B20"/>
    <w:rsid w:val="00460830"/>
    <w:rsid w:val="0046231F"/>
    <w:rsid w:val="0046377D"/>
    <w:rsid w:val="004700CA"/>
    <w:rsid w:val="00470ED0"/>
    <w:rsid w:val="00474B7D"/>
    <w:rsid w:val="00474E00"/>
    <w:rsid w:val="00474E16"/>
    <w:rsid w:val="00477DAA"/>
    <w:rsid w:val="00480F84"/>
    <w:rsid w:val="004812A9"/>
    <w:rsid w:val="00482ACB"/>
    <w:rsid w:val="00484A94"/>
    <w:rsid w:val="00485ECC"/>
    <w:rsid w:val="00487452"/>
    <w:rsid w:val="0049072E"/>
    <w:rsid w:val="00496997"/>
    <w:rsid w:val="004972BD"/>
    <w:rsid w:val="004A4C23"/>
    <w:rsid w:val="004B2C17"/>
    <w:rsid w:val="004C0B0A"/>
    <w:rsid w:val="004C19B3"/>
    <w:rsid w:val="004C57DE"/>
    <w:rsid w:val="004D0091"/>
    <w:rsid w:val="004D0FA6"/>
    <w:rsid w:val="004D1B9F"/>
    <w:rsid w:val="004D24D2"/>
    <w:rsid w:val="004D4D58"/>
    <w:rsid w:val="004D5935"/>
    <w:rsid w:val="004D7668"/>
    <w:rsid w:val="004E3306"/>
    <w:rsid w:val="004E3EA8"/>
    <w:rsid w:val="004E4152"/>
    <w:rsid w:val="004E56BB"/>
    <w:rsid w:val="004E6601"/>
    <w:rsid w:val="004E73D0"/>
    <w:rsid w:val="004F378E"/>
    <w:rsid w:val="004F401B"/>
    <w:rsid w:val="004F459F"/>
    <w:rsid w:val="00505802"/>
    <w:rsid w:val="00506609"/>
    <w:rsid w:val="00511504"/>
    <w:rsid w:val="00511761"/>
    <w:rsid w:val="00514450"/>
    <w:rsid w:val="00523C98"/>
    <w:rsid w:val="0052600F"/>
    <w:rsid w:val="005343B6"/>
    <w:rsid w:val="00534AD6"/>
    <w:rsid w:val="00535878"/>
    <w:rsid w:val="00543A3B"/>
    <w:rsid w:val="0054483F"/>
    <w:rsid w:val="00553C3A"/>
    <w:rsid w:val="00553CA6"/>
    <w:rsid w:val="00554B90"/>
    <w:rsid w:val="00555587"/>
    <w:rsid w:val="005567D3"/>
    <w:rsid w:val="005571B6"/>
    <w:rsid w:val="0055757B"/>
    <w:rsid w:val="00557C28"/>
    <w:rsid w:val="00567F5A"/>
    <w:rsid w:val="00577CD7"/>
    <w:rsid w:val="00581A5C"/>
    <w:rsid w:val="00591C3E"/>
    <w:rsid w:val="0059682E"/>
    <w:rsid w:val="00597D72"/>
    <w:rsid w:val="005A3679"/>
    <w:rsid w:val="005A3B1E"/>
    <w:rsid w:val="005A4C7A"/>
    <w:rsid w:val="005A70C0"/>
    <w:rsid w:val="005B0541"/>
    <w:rsid w:val="005D1DD2"/>
    <w:rsid w:val="005D3EA9"/>
    <w:rsid w:val="005D4944"/>
    <w:rsid w:val="005D4A8F"/>
    <w:rsid w:val="005D4DBC"/>
    <w:rsid w:val="005D5D40"/>
    <w:rsid w:val="005E1063"/>
    <w:rsid w:val="005E12A2"/>
    <w:rsid w:val="005E6302"/>
    <w:rsid w:val="005F1D63"/>
    <w:rsid w:val="00601533"/>
    <w:rsid w:val="006050D8"/>
    <w:rsid w:val="00606A28"/>
    <w:rsid w:val="00607DF3"/>
    <w:rsid w:val="0061548F"/>
    <w:rsid w:val="00621F65"/>
    <w:rsid w:val="0062273A"/>
    <w:rsid w:val="006240FD"/>
    <w:rsid w:val="00625828"/>
    <w:rsid w:val="0062727A"/>
    <w:rsid w:val="006329EF"/>
    <w:rsid w:val="00635396"/>
    <w:rsid w:val="00635C5F"/>
    <w:rsid w:val="00643E7A"/>
    <w:rsid w:val="006447C2"/>
    <w:rsid w:val="006514BF"/>
    <w:rsid w:val="00661A5D"/>
    <w:rsid w:val="00666939"/>
    <w:rsid w:val="0067475A"/>
    <w:rsid w:val="00675827"/>
    <w:rsid w:val="006759D6"/>
    <w:rsid w:val="0068031C"/>
    <w:rsid w:val="006816E1"/>
    <w:rsid w:val="00682020"/>
    <w:rsid w:val="006830B0"/>
    <w:rsid w:val="006904D8"/>
    <w:rsid w:val="0069184B"/>
    <w:rsid w:val="006A0350"/>
    <w:rsid w:val="006A597E"/>
    <w:rsid w:val="006A5A6F"/>
    <w:rsid w:val="006B0160"/>
    <w:rsid w:val="006B4BE3"/>
    <w:rsid w:val="006B4E1F"/>
    <w:rsid w:val="006B69D8"/>
    <w:rsid w:val="006B7C68"/>
    <w:rsid w:val="006C6490"/>
    <w:rsid w:val="006C681B"/>
    <w:rsid w:val="006C7ED9"/>
    <w:rsid w:val="006D17AD"/>
    <w:rsid w:val="006D6968"/>
    <w:rsid w:val="006D7187"/>
    <w:rsid w:val="006E1122"/>
    <w:rsid w:val="006E7075"/>
    <w:rsid w:val="006F280F"/>
    <w:rsid w:val="006F4AC8"/>
    <w:rsid w:val="006F5394"/>
    <w:rsid w:val="00700B7B"/>
    <w:rsid w:val="00704FE6"/>
    <w:rsid w:val="007072DD"/>
    <w:rsid w:val="00713EC9"/>
    <w:rsid w:val="007169AD"/>
    <w:rsid w:val="00716FB7"/>
    <w:rsid w:val="00717CB4"/>
    <w:rsid w:val="00723B93"/>
    <w:rsid w:val="00733713"/>
    <w:rsid w:val="007360B6"/>
    <w:rsid w:val="00744138"/>
    <w:rsid w:val="00745F8D"/>
    <w:rsid w:val="00746637"/>
    <w:rsid w:val="00756E95"/>
    <w:rsid w:val="007616E5"/>
    <w:rsid w:val="0076240B"/>
    <w:rsid w:val="007635B1"/>
    <w:rsid w:val="00765DCF"/>
    <w:rsid w:val="00765DFF"/>
    <w:rsid w:val="007662AA"/>
    <w:rsid w:val="0077042D"/>
    <w:rsid w:val="0077094A"/>
    <w:rsid w:val="00774D68"/>
    <w:rsid w:val="0078028F"/>
    <w:rsid w:val="007807D6"/>
    <w:rsid w:val="00787186"/>
    <w:rsid w:val="00790E27"/>
    <w:rsid w:val="007A0FB1"/>
    <w:rsid w:val="007A4ABC"/>
    <w:rsid w:val="007A798C"/>
    <w:rsid w:val="007A7DA8"/>
    <w:rsid w:val="007B257C"/>
    <w:rsid w:val="007B590D"/>
    <w:rsid w:val="007C3E9E"/>
    <w:rsid w:val="007C5756"/>
    <w:rsid w:val="007C59F3"/>
    <w:rsid w:val="007D1996"/>
    <w:rsid w:val="007D36D5"/>
    <w:rsid w:val="007D4826"/>
    <w:rsid w:val="007D7802"/>
    <w:rsid w:val="007E445B"/>
    <w:rsid w:val="007F244A"/>
    <w:rsid w:val="007F3763"/>
    <w:rsid w:val="007F4035"/>
    <w:rsid w:val="00806673"/>
    <w:rsid w:val="00811248"/>
    <w:rsid w:val="00815A55"/>
    <w:rsid w:val="00826F80"/>
    <w:rsid w:val="00827121"/>
    <w:rsid w:val="00830E16"/>
    <w:rsid w:val="008313AF"/>
    <w:rsid w:val="008326D7"/>
    <w:rsid w:val="00833AAE"/>
    <w:rsid w:val="00835227"/>
    <w:rsid w:val="00836823"/>
    <w:rsid w:val="00840994"/>
    <w:rsid w:val="00845EFE"/>
    <w:rsid w:val="0085041E"/>
    <w:rsid w:val="008504EE"/>
    <w:rsid w:val="00850714"/>
    <w:rsid w:val="008510D9"/>
    <w:rsid w:val="0086002C"/>
    <w:rsid w:val="00861274"/>
    <w:rsid w:val="00866AB8"/>
    <w:rsid w:val="00874CD5"/>
    <w:rsid w:val="00884277"/>
    <w:rsid w:val="008842F6"/>
    <w:rsid w:val="008911D9"/>
    <w:rsid w:val="00891DA8"/>
    <w:rsid w:val="008A17D7"/>
    <w:rsid w:val="008A1FBB"/>
    <w:rsid w:val="008A7B64"/>
    <w:rsid w:val="008C1778"/>
    <w:rsid w:val="008C3B5E"/>
    <w:rsid w:val="008D05EB"/>
    <w:rsid w:val="008D1610"/>
    <w:rsid w:val="008D270F"/>
    <w:rsid w:val="008D4AB6"/>
    <w:rsid w:val="008D4DE6"/>
    <w:rsid w:val="008E022C"/>
    <w:rsid w:val="008E06FA"/>
    <w:rsid w:val="008E4FAC"/>
    <w:rsid w:val="008E5D1B"/>
    <w:rsid w:val="008F039F"/>
    <w:rsid w:val="008F3C7D"/>
    <w:rsid w:val="00901539"/>
    <w:rsid w:val="00901DC3"/>
    <w:rsid w:val="00901E54"/>
    <w:rsid w:val="00906612"/>
    <w:rsid w:val="00906961"/>
    <w:rsid w:val="00907572"/>
    <w:rsid w:val="009151A3"/>
    <w:rsid w:val="009155BE"/>
    <w:rsid w:val="00916F05"/>
    <w:rsid w:val="0091701F"/>
    <w:rsid w:val="00923DD8"/>
    <w:rsid w:val="00923ED9"/>
    <w:rsid w:val="00924080"/>
    <w:rsid w:val="009274A1"/>
    <w:rsid w:val="00931301"/>
    <w:rsid w:val="00933D1C"/>
    <w:rsid w:val="00935495"/>
    <w:rsid w:val="009362AF"/>
    <w:rsid w:val="009413DC"/>
    <w:rsid w:val="009414BE"/>
    <w:rsid w:val="009418B3"/>
    <w:rsid w:val="00941AB4"/>
    <w:rsid w:val="009436B6"/>
    <w:rsid w:val="00960F1F"/>
    <w:rsid w:val="00963881"/>
    <w:rsid w:val="00965B8D"/>
    <w:rsid w:val="00966CA8"/>
    <w:rsid w:val="00966FF5"/>
    <w:rsid w:val="0097137E"/>
    <w:rsid w:val="00985B4B"/>
    <w:rsid w:val="00992722"/>
    <w:rsid w:val="00995CAE"/>
    <w:rsid w:val="00997272"/>
    <w:rsid w:val="009977C9"/>
    <w:rsid w:val="009A233E"/>
    <w:rsid w:val="009A36EC"/>
    <w:rsid w:val="009B0517"/>
    <w:rsid w:val="009B1991"/>
    <w:rsid w:val="009B519D"/>
    <w:rsid w:val="009B719A"/>
    <w:rsid w:val="009C1470"/>
    <w:rsid w:val="009C2249"/>
    <w:rsid w:val="009C284F"/>
    <w:rsid w:val="009C2884"/>
    <w:rsid w:val="009C30BF"/>
    <w:rsid w:val="009C508E"/>
    <w:rsid w:val="009C5A9E"/>
    <w:rsid w:val="009C6B37"/>
    <w:rsid w:val="009C7076"/>
    <w:rsid w:val="009D25FA"/>
    <w:rsid w:val="009D28ED"/>
    <w:rsid w:val="009D7AEC"/>
    <w:rsid w:val="009F66FB"/>
    <w:rsid w:val="009F71CF"/>
    <w:rsid w:val="00A0334E"/>
    <w:rsid w:val="00A0622F"/>
    <w:rsid w:val="00A11773"/>
    <w:rsid w:val="00A13B93"/>
    <w:rsid w:val="00A13CCA"/>
    <w:rsid w:val="00A14E1A"/>
    <w:rsid w:val="00A17F3D"/>
    <w:rsid w:val="00A2189E"/>
    <w:rsid w:val="00A2232E"/>
    <w:rsid w:val="00A22F8D"/>
    <w:rsid w:val="00A35020"/>
    <w:rsid w:val="00A353D6"/>
    <w:rsid w:val="00A4543F"/>
    <w:rsid w:val="00A51321"/>
    <w:rsid w:val="00A53BBE"/>
    <w:rsid w:val="00A56398"/>
    <w:rsid w:val="00A56D52"/>
    <w:rsid w:val="00A620FC"/>
    <w:rsid w:val="00A63437"/>
    <w:rsid w:val="00A63AF4"/>
    <w:rsid w:val="00A65F22"/>
    <w:rsid w:val="00A7180A"/>
    <w:rsid w:val="00A77221"/>
    <w:rsid w:val="00A77F13"/>
    <w:rsid w:val="00A80F4E"/>
    <w:rsid w:val="00A812D3"/>
    <w:rsid w:val="00A82B83"/>
    <w:rsid w:val="00A86B5D"/>
    <w:rsid w:val="00A910B4"/>
    <w:rsid w:val="00A93291"/>
    <w:rsid w:val="00A95515"/>
    <w:rsid w:val="00AA0B35"/>
    <w:rsid w:val="00AA6AAE"/>
    <w:rsid w:val="00AB1803"/>
    <w:rsid w:val="00AB38B9"/>
    <w:rsid w:val="00AB3F5B"/>
    <w:rsid w:val="00AB465B"/>
    <w:rsid w:val="00AB4A7F"/>
    <w:rsid w:val="00AB58F5"/>
    <w:rsid w:val="00AC3715"/>
    <w:rsid w:val="00AC38A4"/>
    <w:rsid w:val="00AC4362"/>
    <w:rsid w:val="00AD575E"/>
    <w:rsid w:val="00AD638C"/>
    <w:rsid w:val="00AF036C"/>
    <w:rsid w:val="00AF2B7A"/>
    <w:rsid w:val="00AF3F03"/>
    <w:rsid w:val="00B004E3"/>
    <w:rsid w:val="00B12B1A"/>
    <w:rsid w:val="00B15757"/>
    <w:rsid w:val="00B22926"/>
    <w:rsid w:val="00B27239"/>
    <w:rsid w:val="00B30B3E"/>
    <w:rsid w:val="00B32749"/>
    <w:rsid w:val="00B33FD1"/>
    <w:rsid w:val="00B349B5"/>
    <w:rsid w:val="00B366EB"/>
    <w:rsid w:val="00B472AB"/>
    <w:rsid w:val="00B47B4A"/>
    <w:rsid w:val="00B51B94"/>
    <w:rsid w:val="00B51F75"/>
    <w:rsid w:val="00B52E3E"/>
    <w:rsid w:val="00B5418B"/>
    <w:rsid w:val="00B54830"/>
    <w:rsid w:val="00B54A79"/>
    <w:rsid w:val="00B54BC8"/>
    <w:rsid w:val="00B611F9"/>
    <w:rsid w:val="00B6685D"/>
    <w:rsid w:val="00B70265"/>
    <w:rsid w:val="00B70345"/>
    <w:rsid w:val="00B80D77"/>
    <w:rsid w:val="00B83C96"/>
    <w:rsid w:val="00B85DE3"/>
    <w:rsid w:val="00B875EA"/>
    <w:rsid w:val="00B87D96"/>
    <w:rsid w:val="00B90E17"/>
    <w:rsid w:val="00BA326C"/>
    <w:rsid w:val="00BA44AB"/>
    <w:rsid w:val="00BA641A"/>
    <w:rsid w:val="00BA79E3"/>
    <w:rsid w:val="00BA7A96"/>
    <w:rsid w:val="00BA7DDD"/>
    <w:rsid w:val="00BB457A"/>
    <w:rsid w:val="00BB53A0"/>
    <w:rsid w:val="00BB5963"/>
    <w:rsid w:val="00BB7019"/>
    <w:rsid w:val="00BC0B26"/>
    <w:rsid w:val="00BC3EA5"/>
    <w:rsid w:val="00BC4144"/>
    <w:rsid w:val="00BC7DC7"/>
    <w:rsid w:val="00BD0013"/>
    <w:rsid w:val="00BD4504"/>
    <w:rsid w:val="00BE3DAF"/>
    <w:rsid w:val="00BE6C5A"/>
    <w:rsid w:val="00BF3B7F"/>
    <w:rsid w:val="00BF3D43"/>
    <w:rsid w:val="00BF5621"/>
    <w:rsid w:val="00C0114A"/>
    <w:rsid w:val="00C029EE"/>
    <w:rsid w:val="00C05B51"/>
    <w:rsid w:val="00C06794"/>
    <w:rsid w:val="00C06A67"/>
    <w:rsid w:val="00C100D3"/>
    <w:rsid w:val="00C1291D"/>
    <w:rsid w:val="00C13655"/>
    <w:rsid w:val="00C15675"/>
    <w:rsid w:val="00C2231D"/>
    <w:rsid w:val="00C23956"/>
    <w:rsid w:val="00C279B0"/>
    <w:rsid w:val="00C307B5"/>
    <w:rsid w:val="00C3186B"/>
    <w:rsid w:val="00C35AF1"/>
    <w:rsid w:val="00C3706C"/>
    <w:rsid w:val="00C376D4"/>
    <w:rsid w:val="00C42D0C"/>
    <w:rsid w:val="00C45C26"/>
    <w:rsid w:val="00C45EDC"/>
    <w:rsid w:val="00C464E4"/>
    <w:rsid w:val="00C474FA"/>
    <w:rsid w:val="00C47911"/>
    <w:rsid w:val="00C50B70"/>
    <w:rsid w:val="00C56748"/>
    <w:rsid w:val="00C577AA"/>
    <w:rsid w:val="00C60FAB"/>
    <w:rsid w:val="00C616CE"/>
    <w:rsid w:val="00C61CF7"/>
    <w:rsid w:val="00C62547"/>
    <w:rsid w:val="00C63945"/>
    <w:rsid w:val="00C64417"/>
    <w:rsid w:val="00C6620F"/>
    <w:rsid w:val="00C708F7"/>
    <w:rsid w:val="00C800EB"/>
    <w:rsid w:val="00C808A9"/>
    <w:rsid w:val="00C8414D"/>
    <w:rsid w:val="00C84911"/>
    <w:rsid w:val="00C86A8E"/>
    <w:rsid w:val="00C91554"/>
    <w:rsid w:val="00C926DD"/>
    <w:rsid w:val="00C93641"/>
    <w:rsid w:val="00C93683"/>
    <w:rsid w:val="00CA3F60"/>
    <w:rsid w:val="00CA7648"/>
    <w:rsid w:val="00CB273D"/>
    <w:rsid w:val="00CB7C53"/>
    <w:rsid w:val="00CB7D15"/>
    <w:rsid w:val="00CC1397"/>
    <w:rsid w:val="00CC6BFE"/>
    <w:rsid w:val="00CC7470"/>
    <w:rsid w:val="00CC753D"/>
    <w:rsid w:val="00CD3571"/>
    <w:rsid w:val="00CD58FF"/>
    <w:rsid w:val="00CD5C15"/>
    <w:rsid w:val="00CD7D23"/>
    <w:rsid w:val="00CE0935"/>
    <w:rsid w:val="00CE1F5A"/>
    <w:rsid w:val="00CE6B18"/>
    <w:rsid w:val="00CE6ECA"/>
    <w:rsid w:val="00CF194E"/>
    <w:rsid w:val="00CF243A"/>
    <w:rsid w:val="00CF7949"/>
    <w:rsid w:val="00D03105"/>
    <w:rsid w:val="00D039A0"/>
    <w:rsid w:val="00D070BB"/>
    <w:rsid w:val="00D11CAB"/>
    <w:rsid w:val="00D17CFC"/>
    <w:rsid w:val="00D23282"/>
    <w:rsid w:val="00D31ED2"/>
    <w:rsid w:val="00D4381C"/>
    <w:rsid w:val="00D46BDA"/>
    <w:rsid w:val="00D50A23"/>
    <w:rsid w:val="00D5104E"/>
    <w:rsid w:val="00D51430"/>
    <w:rsid w:val="00D57579"/>
    <w:rsid w:val="00D60E43"/>
    <w:rsid w:val="00D618D7"/>
    <w:rsid w:val="00D669AE"/>
    <w:rsid w:val="00D7079C"/>
    <w:rsid w:val="00D72D63"/>
    <w:rsid w:val="00D7431D"/>
    <w:rsid w:val="00D752C8"/>
    <w:rsid w:val="00D755D6"/>
    <w:rsid w:val="00D75B6B"/>
    <w:rsid w:val="00D77B72"/>
    <w:rsid w:val="00D85DFC"/>
    <w:rsid w:val="00D91713"/>
    <w:rsid w:val="00D94C43"/>
    <w:rsid w:val="00D96177"/>
    <w:rsid w:val="00DA0354"/>
    <w:rsid w:val="00DA23FF"/>
    <w:rsid w:val="00DA4B98"/>
    <w:rsid w:val="00DB1F9B"/>
    <w:rsid w:val="00DB58C5"/>
    <w:rsid w:val="00DC2236"/>
    <w:rsid w:val="00DC6D3A"/>
    <w:rsid w:val="00DD0FB5"/>
    <w:rsid w:val="00DD2D34"/>
    <w:rsid w:val="00DD33AF"/>
    <w:rsid w:val="00DD46B0"/>
    <w:rsid w:val="00DD55BD"/>
    <w:rsid w:val="00DD5F43"/>
    <w:rsid w:val="00DD784E"/>
    <w:rsid w:val="00DE4461"/>
    <w:rsid w:val="00DE7217"/>
    <w:rsid w:val="00DF0661"/>
    <w:rsid w:val="00DF2F24"/>
    <w:rsid w:val="00DF34DE"/>
    <w:rsid w:val="00DF3EF4"/>
    <w:rsid w:val="00DF3F5E"/>
    <w:rsid w:val="00DF730E"/>
    <w:rsid w:val="00E02389"/>
    <w:rsid w:val="00E0668B"/>
    <w:rsid w:val="00E1063E"/>
    <w:rsid w:val="00E111AA"/>
    <w:rsid w:val="00E17823"/>
    <w:rsid w:val="00E20434"/>
    <w:rsid w:val="00E24706"/>
    <w:rsid w:val="00E25FF1"/>
    <w:rsid w:val="00E31AD1"/>
    <w:rsid w:val="00E32173"/>
    <w:rsid w:val="00E36BD4"/>
    <w:rsid w:val="00E37119"/>
    <w:rsid w:val="00E41C00"/>
    <w:rsid w:val="00E434BA"/>
    <w:rsid w:val="00E45512"/>
    <w:rsid w:val="00E47C7D"/>
    <w:rsid w:val="00E52767"/>
    <w:rsid w:val="00E52C89"/>
    <w:rsid w:val="00E5744D"/>
    <w:rsid w:val="00E60DA0"/>
    <w:rsid w:val="00E676E0"/>
    <w:rsid w:val="00E70A60"/>
    <w:rsid w:val="00E70B36"/>
    <w:rsid w:val="00E7356D"/>
    <w:rsid w:val="00E73D8A"/>
    <w:rsid w:val="00E756E4"/>
    <w:rsid w:val="00E8054C"/>
    <w:rsid w:val="00E81058"/>
    <w:rsid w:val="00E81BE7"/>
    <w:rsid w:val="00E82401"/>
    <w:rsid w:val="00E84FBD"/>
    <w:rsid w:val="00E85D9B"/>
    <w:rsid w:val="00E86472"/>
    <w:rsid w:val="00E86BE8"/>
    <w:rsid w:val="00E9035A"/>
    <w:rsid w:val="00E917BD"/>
    <w:rsid w:val="00E92B50"/>
    <w:rsid w:val="00E935E5"/>
    <w:rsid w:val="00E95917"/>
    <w:rsid w:val="00E9661E"/>
    <w:rsid w:val="00E968C8"/>
    <w:rsid w:val="00E97D31"/>
    <w:rsid w:val="00EA12DF"/>
    <w:rsid w:val="00EA2508"/>
    <w:rsid w:val="00EB2932"/>
    <w:rsid w:val="00EB5C71"/>
    <w:rsid w:val="00EC205D"/>
    <w:rsid w:val="00EC42FE"/>
    <w:rsid w:val="00EC5D58"/>
    <w:rsid w:val="00EC6173"/>
    <w:rsid w:val="00EC654B"/>
    <w:rsid w:val="00ED056D"/>
    <w:rsid w:val="00ED4847"/>
    <w:rsid w:val="00ED4FEF"/>
    <w:rsid w:val="00ED5E12"/>
    <w:rsid w:val="00EE262E"/>
    <w:rsid w:val="00EE2F6E"/>
    <w:rsid w:val="00EE3B70"/>
    <w:rsid w:val="00EE6F80"/>
    <w:rsid w:val="00EF011B"/>
    <w:rsid w:val="00EF1D5F"/>
    <w:rsid w:val="00F00BC2"/>
    <w:rsid w:val="00F02848"/>
    <w:rsid w:val="00F03EAD"/>
    <w:rsid w:val="00F048D7"/>
    <w:rsid w:val="00F07184"/>
    <w:rsid w:val="00F07B56"/>
    <w:rsid w:val="00F14374"/>
    <w:rsid w:val="00F15ADF"/>
    <w:rsid w:val="00F210C2"/>
    <w:rsid w:val="00F26352"/>
    <w:rsid w:val="00F277EE"/>
    <w:rsid w:val="00F31693"/>
    <w:rsid w:val="00F328BF"/>
    <w:rsid w:val="00F33BE1"/>
    <w:rsid w:val="00F40DCE"/>
    <w:rsid w:val="00F43F2A"/>
    <w:rsid w:val="00F4665B"/>
    <w:rsid w:val="00F53F70"/>
    <w:rsid w:val="00F678BE"/>
    <w:rsid w:val="00F70988"/>
    <w:rsid w:val="00F738CB"/>
    <w:rsid w:val="00F739E6"/>
    <w:rsid w:val="00F804C2"/>
    <w:rsid w:val="00F808FD"/>
    <w:rsid w:val="00F80FDC"/>
    <w:rsid w:val="00F90236"/>
    <w:rsid w:val="00F935F0"/>
    <w:rsid w:val="00F97EA8"/>
    <w:rsid w:val="00FA0C7F"/>
    <w:rsid w:val="00FA30DD"/>
    <w:rsid w:val="00FB0048"/>
    <w:rsid w:val="00FB0EDD"/>
    <w:rsid w:val="00FB40F4"/>
    <w:rsid w:val="00FE0648"/>
    <w:rsid w:val="00FE7849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B7DC48"/>
  <w15:docId w15:val="{60EC6B18-1585-4135-B48B-50B47555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60E43"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97A"/>
    <w:pPr>
      <w:ind w:left="720"/>
      <w:contextualSpacing/>
    </w:pPr>
  </w:style>
  <w:style w:type="paragraph" w:customStyle="1" w:styleId="Default">
    <w:name w:val="Default"/>
    <w:rsid w:val="00AC38A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B83C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">
    <w:name w:val="clause"/>
    <w:basedOn w:val="Normal"/>
    <w:rsid w:val="004D0091"/>
    <w:pPr>
      <w:spacing w:after="0" w:line="240" w:lineRule="auto"/>
      <w:ind w:firstLine="539"/>
      <w:jc w:val="both"/>
    </w:pPr>
    <w:rPr>
      <w:rFonts w:eastAsia="Arial Unicode MS"/>
      <w:sz w:val="14"/>
      <w:szCs w:val="14"/>
      <w:lang w:val="en-GB"/>
    </w:rPr>
  </w:style>
  <w:style w:type="paragraph" w:styleId="NormalWeb">
    <w:name w:val="Normal (Web)"/>
    <w:basedOn w:val="Normal"/>
    <w:rsid w:val="004D0091"/>
    <w:pPr>
      <w:spacing w:after="0" w:line="240" w:lineRule="auto"/>
    </w:pPr>
    <w:rPr>
      <w:rFonts w:eastAsia="Arial Unicode MS"/>
      <w:sz w:val="14"/>
      <w:szCs w:val="14"/>
      <w:lang w:val="en-GB"/>
    </w:rPr>
  </w:style>
  <w:style w:type="paragraph" w:styleId="BodyText2">
    <w:name w:val="Body Text 2"/>
    <w:basedOn w:val="Normal"/>
    <w:link w:val="BodyText2Char"/>
    <w:rsid w:val="004D0091"/>
    <w:pPr>
      <w:spacing w:after="120" w:line="480" w:lineRule="auto"/>
    </w:pPr>
    <w:rPr>
      <w:rFonts w:eastAsia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4D0091"/>
    <w:rPr>
      <w:rFonts w:eastAsia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808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8FD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08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8FD"/>
    <w:rPr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F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07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718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7184"/>
    <w:rPr>
      <w:b/>
      <w:bCs/>
    </w:rPr>
  </w:style>
  <w:style w:type="character" w:styleId="Hyperlink">
    <w:name w:val="Hyperlink"/>
    <w:basedOn w:val="DefaultParagraphFont"/>
    <w:rsid w:val="00DD2D34"/>
    <w:rPr>
      <w:color w:val="0000FF"/>
      <w:u w:val="single"/>
    </w:rPr>
  </w:style>
  <w:style w:type="paragraph" w:customStyle="1" w:styleId="appakspunkts">
    <w:name w:val="appakspunkts"/>
    <w:basedOn w:val="Normal"/>
    <w:rsid w:val="00C50B70"/>
    <w:pPr>
      <w:spacing w:after="0" w:line="240" w:lineRule="auto"/>
      <w:ind w:left="720" w:hanging="720"/>
      <w:jc w:val="both"/>
    </w:pPr>
    <w:rPr>
      <w:rFonts w:ascii="BaltArial" w:eastAsia="Times New Roman" w:hAnsi="BaltArial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E111AA"/>
    <w:rPr>
      <w:lang w:eastAsia="en-US"/>
    </w:rPr>
  </w:style>
  <w:style w:type="paragraph" w:styleId="Revision">
    <w:name w:val="Revision"/>
    <w:hidden/>
    <w:uiPriority w:val="99"/>
    <w:semiHidden/>
    <w:rsid w:val="00C56748"/>
    <w:rPr>
      <w:sz w:val="24"/>
      <w:szCs w:val="22"/>
      <w:lang w:eastAsia="en-US"/>
    </w:rPr>
  </w:style>
  <w:style w:type="paragraph" w:styleId="NoSpacing">
    <w:name w:val="No Spacing"/>
    <w:uiPriority w:val="1"/>
    <w:qFormat/>
    <w:rsid w:val="00D72D63"/>
    <w:rPr>
      <w:sz w:val="24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03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Point0number">
    <w:name w:val="Point 0 (number)"/>
    <w:basedOn w:val="Normal"/>
    <w:rsid w:val="00AB4A7F"/>
    <w:pPr>
      <w:numPr>
        <w:numId w:val="2"/>
      </w:numPr>
      <w:spacing w:before="120" w:after="120" w:line="240" w:lineRule="auto"/>
      <w:jc w:val="both"/>
    </w:pPr>
    <w:rPr>
      <w:rFonts w:eastAsiaTheme="minorHAnsi"/>
      <w:lang w:eastAsia="lv-LV" w:bidi="lv-LV"/>
    </w:rPr>
  </w:style>
  <w:style w:type="paragraph" w:customStyle="1" w:styleId="Point1number">
    <w:name w:val="Point 1 (number)"/>
    <w:basedOn w:val="Normal"/>
    <w:rsid w:val="00AB4A7F"/>
    <w:pPr>
      <w:numPr>
        <w:ilvl w:val="2"/>
        <w:numId w:val="2"/>
      </w:numPr>
      <w:spacing w:before="120" w:after="120" w:line="240" w:lineRule="auto"/>
      <w:jc w:val="both"/>
    </w:pPr>
    <w:rPr>
      <w:rFonts w:eastAsiaTheme="minorHAnsi"/>
      <w:lang w:eastAsia="lv-LV" w:bidi="lv-LV"/>
    </w:rPr>
  </w:style>
  <w:style w:type="paragraph" w:customStyle="1" w:styleId="Point2number">
    <w:name w:val="Point 2 (number)"/>
    <w:basedOn w:val="Normal"/>
    <w:rsid w:val="00AB4A7F"/>
    <w:pPr>
      <w:numPr>
        <w:ilvl w:val="4"/>
        <w:numId w:val="2"/>
      </w:numPr>
      <w:spacing w:before="120" w:after="120" w:line="240" w:lineRule="auto"/>
      <w:jc w:val="both"/>
    </w:pPr>
    <w:rPr>
      <w:rFonts w:eastAsiaTheme="minorHAnsi"/>
      <w:lang w:eastAsia="lv-LV" w:bidi="lv-LV"/>
    </w:rPr>
  </w:style>
  <w:style w:type="paragraph" w:customStyle="1" w:styleId="Point3number">
    <w:name w:val="Point 3 (number)"/>
    <w:basedOn w:val="Normal"/>
    <w:rsid w:val="00AB4A7F"/>
    <w:pPr>
      <w:numPr>
        <w:ilvl w:val="6"/>
        <w:numId w:val="2"/>
      </w:numPr>
      <w:spacing w:before="120" w:after="120" w:line="240" w:lineRule="auto"/>
      <w:jc w:val="both"/>
    </w:pPr>
    <w:rPr>
      <w:rFonts w:eastAsiaTheme="minorHAnsi"/>
      <w:lang w:eastAsia="lv-LV" w:bidi="lv-LV"/>
    </w:rPr>
  </w:style>
  <w:style w:type="paragraph" w:customStyle="1" w:styleId="Point0letter">
    <w:name w:val="Point 0 (letter)"/>
    <w:basedOn w:val="Normal"/>
    <w:rsid w:val="00AB4A7F"/>
    <w:pPr>
      <w:numPr>
        <w:ilvl w:val="1"/>
        <w:numId w:val="2"/>
      </w:numPr>
      <w:spacing w:before="120" w:after="120" w:line="240" w:lineRule="auto"/>
      <w:jc w:val="both"/>
    </w:pPr>
    <w:rPr>
      <w:rFonts w:eastAsiaTheme="minorHAnsi"/>
      <w:lang w:eastAsia="lv-LV" w:bidi="lv-LV"/>
    </w:rPr>
  </w:style>
  <w:style w:type="paragraph" w:customStyle="1" w:styleId="Point1letter">
    <w:name w:val="Point 1 (letter)"/>
    <w:basedOn w:val="Normal"/>
    <w:rsid w:val="00AB4A7F"/>
    <w:pPr>
      <w:numPr>
        <w:ilvl w:val="3"/>
        <w:numId w:val="2"/>
      </w:numPr>
      <w:spacing w:before="120" w:after="120" w:line="240" w:lineRule="auto"/>
      <w:jc w:val="both"/>
    </w:pPr>
    <w:rPr>
      <w:rFonts w:eastAsiaTheme="minorHAnsi"/>
      <w:lang w:eastAsia="lv-LV" w:bidi="lv-LV"/>
    </w:rPr>
  </w:style>
  <w:style w:type="paragraph" w:customStyle="1" w:styleId="Point2letter">
    <w:name w:val="Point 2 (letter)"/>
    <w:basedOn w:val="Normal"/>
    <w:rsid w:val="00AB4A7F"/>
    <w:pPr>
      <w:numPr>
        <w:ilvl w:val="5"/>
        <w:numId w:val="2"/>
      </w:numPr>
      <w:spacing w:before="120" w:after="120" w:line="240" w:lineRule="auto"/>
      <w:jc w:val="both"/>
    </w:pPr>
    <w:rPr>
      <w:rFonts w:eastAsiaTheme="minorHAnsi"/>
      <w:lang w:eastAsia="lv-LV" w:bidi="lv-LV"/>
    </w:rPr>
  </w:style>
  <w:style w:type="paragraph" w:customStyle="1" w:styleId="Point3letter">
    <w:name w:val="Point 3 (letter)"/>
    <w:basedOn w:val="Normal"/>
    <w:rsid w:val="00AB4A7F"/>
    <w:pPr>
      <w:numPr>
        <w:ilvl w:val="7"/>
        <w:numId w:val="2"/>
      </w:numPr>
      <w:spacing w:before="120" w:after="120" w:line="240" w:lineRule="auto"/>
      <w:jc w:val="both"/>
    </w:pPr>
    <w:rPr>
      <w:rFonts w:eastAsiaTheme="minorHAnsi"/>
      <w:lang w:eastAsia="lv-LV" w:bidi="lv-LV"/>
    </w:rPr>
  </w:style>
  <w:style w:type="paragraph" w:customStyle="1" w:styleId="Point4letter">
    <w:name w:val="Point 4 (letter)"/>
    <w:basedOn w:val="Normal"/>
    <w:rsid w:val="00AB4A7F"/>
    <w:pPr>
      <w:numPr>
        <w:ilvl w:val="8"/>
        <w:numId w:val="2"/>
      </w:numPr>
      <w:spacing w:before="120" w:after="120" w:line="240" w:lineRule="auto"/>
      <w:jc w:val="both"/>
    </w:pPr>
    <w:rPr>
      <w:rFonts w:eastAsiaTheme="minorHAnsi"/>
      <w:lang w:eastAsia="lv-LV" w:bidi="lv-LV"/>
    </w:rPr>
  </w:style>
  <w:style w:type="paragraph" w:styleId="Caption">
    <w:name w:val="caption"/>
    <w:aliases w:val="Number"/>
    <w:basedOn w:val="Normal"/>
    <w:rsid w:val="00845EFE"/>
    <w:pPr>
      <w:numPr>
        <w:numId w:val="3"/>
      </w:numPr>
      <w:suppressAutoHyphens/>
      <w:spacing w:before="120" w:after="0" w:line="240" w:lineRule="auto"/>
      <w:jc w:val="both"/>
    </w:pPr>
    <w:rPr>
      <w:rFonts w:ascii="Arial" w:eastAsia="SimSun" w:hAnsi="Arial" w:cs="Arial"/>
      <w:szCs w:val="24"/>
      <w:lang w:val="en-GB" w:eastAsia="ar-SA"/>
    </w:rPr>
  </w:style>
  <w:style w:type="table" w:customStyle="1" w:styleId="TableGrid1">
    <w:name w:val="Table Grid1"/>
    <w:basedOn w:val="TableNormal"/>
    <w:next w:val="TableGrid"/>
    <w:uiPriority w:val="59"/>
    <w:rsid w:val="002231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3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79B6-D86C-4E80-BFC3-C52853DF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10614</Words>
  <Characters>6050</Characters>
  <Application>Microsoft Office Word</Application>
  <DocSecurity>0</DocSecurity>
  <Lines>50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SISTĒMAS PALĪGPAKALPOJUMA LĪGUMS Nr</vt:lpstr>
      <vt:lpstr>SISTĒMAS PALĪGPAKALPOJUMA LĪGUMS Nr</vt:lpstr>
    </vt:vector>
  </TitlesOfParts>
  <Company>LATVENERGO AS</Company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SISTĒMAS PALĪGPAKALPOJUMA LĪGUMS Nr</dc:title>
  <dc:creator>M.Martinsone</dc:creator>
  <cp:keywords>regulēšana</cp:keywords>
  <cp:lastModifiedBy>Līga Sadoviča</cp:lastModifiedBy>
  <cp:revision>2</cp:revision>
  <cp:lastPrinted>2017-12-18T11:38:00Z</cp:lastPrinted>
  <dcterms:created xsi:type="dcterms:W3CDTF">2017-12-28T11:22:00Z</dcterms:created>
  <dcterms:modified xsi:type="dcterms:W3CDTF">2017-12-28T11:22:00Z</dcterms:modified>
</cp:coreProperties>
</file>