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122DD" w14:textId="77777777" w:rsidR="00322FE6" w:rsidRPr="00941DA8" w:rsidRDefault="00322FE6" w:rsidP="005A43AF">
      <w:pPr>
        <w:spacing w:after="0" w:line="240" w:lineRule="auto"/>
        <w:jc w:val="both"/>
        <w:rPr>
          <w:rFonts w:ascii="Times New Roman" w:hAnsi="Times New Roman" w:cs="Times New Roman"/>
          <w:b/>
          <w:sz w:val="24"/>
          <w:szCs w:val="24"/>
        </w:rPr>
      </w:pPr>
      <w:bookmarkStart w:id="0" w:name="_Hlk186236522"/>
    </w:p>
    <w:tbl>
      <w:tblPr>
        <w:tblStyle w:val="TableGrid"/>
        <w:tblW w:w="8926" w:type="dxa"/>
        <w:tblInd w:w="137" w:type="dxa"/>
        <w:tblLook w:val="04A0" w:firstRow="1" w:lastRow="0" w:firstColumn="1" w:lastColumn="0" w:noHBand="0" w:noVBand="1"/>
      </w:tblPr>
      <w:tblGrid>
        <w:gridCol w:w="1276"/>
        <w:gridCol w:w="3890"/>
        <w:gridCol w:w="3760"/>
      </w:tblGrid>
      <w:tr w:rsidR="00F527BD" w14:paraId="739B20A5" w14:textId="77777777" w:rsidTr="00F527BD">
        <w:tc>
          <w:tcPr>
            <w:tcW w:w="1276" w:type="dxa"/>
          </w:tcPr>
          <w:p w14:paraId="1C380AF8" w14:textId="77777777" w:rsidR="00422A2A" w:rsidRPr="00941DA8" w:rsidRDefault="00422A2A" w:rsidP="00422A2A">
            <w:pPr>
              <w:jc w:val="center"/>
              <w:rPr>
                <w:rFonts w:ascii="Times New Roman" w:hAnsi="Times New Roman" w:cs="Times New Roman"/>
                <w:b/>
                <w:sz w:val="24"/>
                <w:szCs w:val="24"/>
                <w:lang w:val="en-US"/>
              </w:rPr>
            </w:pPr>
          </w:p>
        </w:tc>
        <w:tc>
          <w:tcPr>
            <w:tcW w:w="3890" w:type="dxa"/>
          </w:tcPr>
          <w:p w14:paraId="6E88C074" w14:textId="623EBF26" w:rsidR="00422A2A" w:rsidRPr="00941DA8" w:rsidRDefault="00422A2A" w:rsidP="00422A2A">
            <w:pPr>
              <w:jc w:val="center"/>
              <w:rPr>
                <w:rFonts w:ascii="Times New Roman" w:hAnsi="Times New Roman" w:cs="Times New Roman"/>
                <w:b/>
                <w:sz w:val="24"/>
                <w:szCs w:val="24"/>
                <w:lang w:val="en-US"/>
              </w:rPr>
            </w:pPr>
            <w:r w:rsidRPr="00941DA8">
              <w:rPr>
                <w:rFonts w:ascii="Times New Roman" w:hAnsi="Times New Roman" w:cs="Times New Roman"/>
                <w:b/>
                <w:sz w:val="24"/>
                <w:szCs w:val="24"/>
                <w:lang w:val="en-US"/>
              </w:rPr>
              <w:t>Balancing market rules</w:t>
            </w:r>
          </w:p>
        </w:tc>
        <w:tc>
          <w:tcPr>
            <w:tcW w:w="3760" w:type="dxa"/>
          </w:tcPr>
          <w:p w14:paraId="799FE744" w14:textId="77777777" w:rsidR="00422A2A" w:rsidRPr="00941DA8" w:rsidRDefault="00422A2A" w:rsidP="00422A2A">
            <w:pPr>
              <w:jc w:val="center"/>
              <w:rPr>
                <w:rFonts w:ascii="Times New Roman" w:hAnsi="Times New Roman" w:cs="Times New Roman"/>
                <w:b/>
                <w:bCs/>
                <w:sz w:val="24"/>
                <w:szCs w:val="24"/>
              </w:rPr>
            </w:pPr>
            <w:r w:rsidRPr="00941DA8">
              <w:rPr>
                <w:rFonts w:ascii="Times New Roman" w:hAnsi="Times New Roman" w:cs="Times New Roman"/>
                <w:b/>
                <w:bCs/>
                <w:sz w:val="24"/>
                <w:szCs w:val="24"/>
              </w:rPr>
              <w:t>Balansēšanas tirgus noteikumi</w:t>
            </w:r>
          </w:p>
          <w:p w14:paraId="0F4C0CFE" w14:textId="77777777" w:rsidR="00422A2A" w:rsidRPr="00941DA8" w:rsidRDefault="00422A2A" w:rsidP="005A43AF">
            <w:pPr>
              <w:jc w:val="both"/>
              <w:rPr>
                <w:rFonts w:ascii="Times New Roman" w:hAnsi="Times New Roman" w:cs="Times New Roman"/>
                <w:b/>
                <w:bCs/>
                <w:sz w:val="24"/>
                <w:szCs w:val="24"/>
              </w:rPr>
            </w:pPr>
          </w:p>
        </w:tc>
      </w:tr>
      <w:tr w:rsidR="00F527BD" w14:paraId="1BDC5C87" w14:textId="77777777" w:rsidTr="00F527BD">
        <w:tc>
          <w:tcPr>
            <w:tcW w:w="1276" w:type="dxa"/>
          </w:tcPr>
          <w:p w14:paraId="63021818" w14:textId="77777777" w:rsidR="00422A2A" w:rsidRPr="00941DA8" w:rsidRDefault="00422A2A" w:rsidP="005A43AF">
            <w:pPr>
              <w:pStyle w:val="ListParagraph"/>
              <w:numPr>
                <w:ilvl w:val="0"/>
                <w:numId w:val="4"/>
              </w:numPr>
              <w:contextualSpacing w:val="0"/>
              <w:jc w:val="both"/>
              <w:rPr>
                <w:rFonts w:ascii="Times New Roman" w:hAnsi="Times New Roman" w:cs="Times New Roman"/>
                <w:b/>
                <w:bCs/>
                <w:sz w:val="24"/>
                <w:szCs w:val="24"/>
                <w:lang w:val="en-US"/>
              </w:rPr>
            </w:pPr>
          </w:p>
        </w:tc>
        <w:tc>
          <w:tcPr>
            <w:tcW w:w="3890" w:type="dxa"/>
          </w:tcPr>
          <w:p w14:paraId="214058DF" w14:textId="2D0990BB" w:rsidR="00422A2A" w:rsidRPr="00422A2A" w:rsidRDefault="00422A2A" w:rsidP="00422A2A">
            <w:pPr>
              <w:ind w:left="360"/>
              <w:jc w:val="both"/>
              <w:rPr>
                <w:rFonts w:ascii="Times New Roman" w:hAnsi="Times New Roman" w:cs="Times New Roman"/>
                <w:b/>
                <w:sz w:val="24"/>
                <w:szCs w:val="24"/>
                <w:lang w:val="en-US"/>
              </w:rPr>
            </w:pPr>
            <w:r w:rsidRPr="00422A2A">
              <w:rPr>
                <w:rFonts w:ascii="Times New Roman" w:hAnsi="Times New Roman" w:cs="Times New Roman"/>
                <w:b/>
                <w:bCs/>
                <w:sz w:val="24"/>
                <w:szCs w:val="24"/>
                <w:lang w:val="en-US"/>
              </w:rPr>
              <w:t>Terms and abbreviations used in the Regulations</w:t>
            </w:r>
          </w:p>
        </w:tc>
        <w:tc>
          <w:tcPr>
            <w:tcW w:w="3760" w:type="dxa"/>
          </w:tcPr>
          <w:p w14:paraId="27B71F35" w14:textId="6EF82799" w:rsidR="00422A2A" w:rsidRPr="0030041C" w:rsidRDefault="00422A2A" w:rsidP="005A43AF">
            <w:pPr>
              <w:jc w:val="both"/>
              <w:rPr>
                <w:rFonts w:ascii="Times New Roman" w:hAnsi="Times New Roman" w:cs="Times New Roman"/>
                <w:b/>
                <w:sz w:val="24"/>
                <w:szCs w:val="24"/>
              </w:rPr>
            </w:pPr>
            <w:r w:rsidRPr="0030041C">
              <w:rPr>
                <w:rFonts w:ascii="Times New Roman" w:hAnsi="Times New Roman" w:cs="Times New Roman"/>
                <w:b/>
                <w:sz w:val="24"/>
                <w:szCs w:val="24"/>
              </w:rPr>
              <w:t>Noteikumos lietotie termini</w:t>
            </w:r>
            <w:r w:rsidRPr="0030041C">
              <w:rPr>
                <w:rFonts w:ascii="Times New Roman" w:hAnsi="Times New Roman" w:cs="Times New Roman"/>
                <w:b/>
                <w:bCs/>
                <w:sz w:val="24"/>
                <w:szCs w:val="24"/>
              </w:rPr>
              <w:t xml:space="preserve"> un saīsinājumi</w:t>
            </w:r>
          </w:p>
          <w:p w14:paraId="3C9E3176" w14:textId="77777777" w:rsidR="00422A2A" w:rsidRPr="00941DA8" w:rsidRDefault="00422A2A" w:rsidP="005A43AF">
            <w:pPr>
              <w:jc w:val="both"/>
              <w:rPr>
                <w:rFonts w:ascii="Times New Roman" w:hAnsi="Times New Roman" w:cs="Times New Roman"/>
                <w:b/>
                <w:sz w:val="24"/>
                <w:szCs w:val="24"/>
              </w:rPr>
            </w:pPr>
          </w:p>
        </w:tc>
      </w:tr>
      <w:tr w:rsidR="00F527BD" w14:paraId="19515FA1" w14:textId="77777777" w:rsidTr="00F527BD">
        <w:tc>
          <w:tcPr>
            <w:tcW w:w="1276" w:type="dxa"/>
          </w:tcPr>
          <w:p w14:paraId="13A087E3" w14:textId="77777777" w:rsidR="00422A2A" w:rsidRPr="00941DA8" w:rsidRDefault="00422A2A" w:rsidP="005A43AF">
            <w:pPr>
              <w:pStyle w:val="Point0number"/>
              <w:numPr>
                <w:ilvl w:val="1"/>
                <w:numId w:val="32"/>
              </w:numPr>
              <w:tabs>
                <w:tab w:val="left" w:pos="720"/>
              </w:tabs>
              <w:spacing w:before="0" w:after="0"/>
              <w:rPr>
                <w:b/>
                <w:bCs/>
                <w:szCs w:val="24"/>
                <w:lang w:val="en-US"/>
              </w:rPr>
            </w:pPr>
          </w:p>
        </w:tc>
        <w:tc>
          <w:tcPr>
            <w:tcW w:w="3890" w:type="dxa"/>
          </w:tcPr>
          <w:p w14:paraId="60FFE73B" w14:textId="62633977"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Ancillary service agreement – </w:t>
            </w:r>
            <w:r w:rsidRPr="00941DA8">
              <w:rPr>
                <w:szCs w:val="24"/>
                <w:lang w:val="en-US"/>
              </w:rPr>
              <w:t>agreement for provision of balancing services concluded between TSO and BPS</w:t>
            </w:r>
          </w:p>
        </w:tc>
        <w:tc>
          <w:tcPr>
            <w:tcW w:w="3760" w:type="dxa"/>
          </w:tcPr>
          <w:p w14:paraId="545699A6" w14:textId="7FCC57BD" w:rsidR="00422A2A" w:rsidRPr="00941DA8" w:rsidRDefault="00422A2A" w:rsidP="005A43AF">
            <w:pPr>
              <w:pStyle w:val="Point0number"/>
              <w:numPr>
                <w:ilvl w:val="0"/>
                <w:numId w:val="0"/>
              </w:numPr>
              <w:tabs>
                <w:tab w:val="left" w:pos="720"/>
              </w:tabs>
              <w:spacing w:before="0" w:after="0"/>
              <w:rPr>
                <w:b/>
                <w:bCs/>
                <w:szCs w:val="24"/>
                <w:lang w:val="lv-LV"/>
              </w:rPr>
            </w:pPr>
            <w:proofErr w:type="spellStart"/>
            <w:r w:rsidRPr="00941DA8">
              <w:rPr>
                <w:b/>
                <w:bCs/>
                <w:szCs w:val="24"/>
                <w:lang w:val="lv-LV"/>
              </w:rPr>
              <w:t>Palīgpakalpojumu</w:t>
            </w:r>
            <w:proofErr w:type="spellEnd"/>
            <w:r w:rsidRPr="00941DA8">
              <w:rPr>
                <w:b/>
                <w:bCs/>
                <w:szCs w:val="24"/>
                <w:lang w:val="lv-LV"/>
              </w:rPr>
              <w:t xml:space="preserve"> līgums – </w:t>
            </w:r>
            <w:r w:rsidRPr="00941DA8">
              <w:rPr>
                <w:szCs w:val="24"/>
                <w:lang w:val="lv-LV"/>
              </w:rPr>
              <w:t>līgums par regulēšanas pakalpojuma sniegšanu noslēgts starp PSO un RPS</w:t>
            </w:r>
          </w:p>
        </w:tc>
      </w:tr>
      <w:tr w:rsidR="00F527BD" w14:paraId="2228266E" w14:textId="77777777" w:rsidTr="00F527BD">
        <w:tc>
          <w:tcPr>
            <w:tcW w:w="1276" w:type="dxa"/>
          </w:tcPr>
          <w:p w14:paraId="138C20BF"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2A9B554E" w14:textId="1089DA65"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AOF - </w:t>
            </w:r>
            <w:r w:rsidRPr="00941DA8">
              <w:rPr>
                <w:szCs w:val="24"/>
                <w:lang w:val="en-US"/>
              </w:rPr>
              <w:t>activation optimization function</w:t>
            </w:r>
          </w:p>
        </w:tc>
        <w:tc>
          <w:tcPr>
            <w:tcW w:w="3760" w:type="dxa"/>
          </w:tcPr>
          <w:p w14:paraId="24245D9D" w14:textId="174C6E03" w:rsidR="00422A2A" w:rsidRPr="00941DA8" w:rsidRDefault="00422A2A" w:rsidP="005A43AF">
            <w:pPr>
              <w:pStyle w:val="Point0number"/>
              <w:numPr>
                <w:ilvl w:val="0"/>
                <w:numId w:val="0"/>
              </w:numPr>
              <w:tabs>
                <w:tab w:val="left" w:pos="720"/>
              </w:tabs>
              <w:spacing w:before="0" w:after="0"/>
              <w:rPr>
                <w:b/>
                <w:bCs/>
                <w:szCs w:val="24"/>
                <w:lang w:val="lv-LV"/>
              </w:rPr>
            </w:pPr>
            <w:r w:rsidRPr="00941DA8">
              <w:rPr>
                <w:b/>
                <w:bCs/>
                <w:szCs w:val="24"/>
                <w:lang w:val="lv-LV"/>
              </w:rPr>
              <w:t xml:space="preserve">AOF - </w:t>
            </w:r>
            <w:r w:rsidRPr="00946CD0">
              <w:rPr>
                <w:szCs w:val="24"/>
                <w:lang w:val="lv-LV"/>
              </w:rPr>
              <w:t>aktivizācijas optimizēšanas funkcija</w:t>
            </w:r>
          </w:p>
        </w:tc>
      </w:tr>
      <w:tr w:rsidR="00F527BD" w14:paraId="50BFD296" w14:textId="77777777" w:rsidTr="00F527BD">
        <w:trPr>
          <w:trHeight w:val="1184"/>
        </w:trPr>
        <w:tc>
          <w:tcPr>
            <w:tcW w:w="1276" w:type="dxa"/>
          </w:tcPr>
          <w:p w14:paraId="4A1B61C6"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6FD666A8" w14:textId="01D100E1" w:rsidR="00422A2A" w:rsidRPr="00941DA8" w:rsidRDefault="00422A2A" w:rsidP="00422A2A">
            <w:pPr>
              <w:pStyle w:val="Point0number"/>
              <w:numPr>
                <w:ilvl w:val="0"/>
                <w:numId w:val="0"/>
              </w:numPr>
              <w:tabs>
                <w:tab w:val="left" w:pos="720"/>
              </w:tabs>
              <w:spacing w:before="0" w:after="0"/>
              <w:rPr>
                <w:szCs w:val="24"/>
                <w:lang w:val="en-US"/>
              </w:rPr>
            </w:pPr>
            <w:r w:rsidRPr="00941DA8">
              <w:rPr>
                <w:b/>
                <w:bCs/>
                <w:szCs w:val="24"/>
                <w:lang w:val="en-US"/>
              </w:rPr>
              <w:t xml:space="preserve">Balancing energy reference price </w:t>
            </w:r>
            <w:r w:rsidRPr="00941DA8">
              <w:rPr>
                <w:szCs w:val="24"/>
                <w:lang w:val="en-US"/>
              </w:rPr>
              <w:t>- balancing price that represents base cost for system balancing and is used for imbalance settlement price formation;</w:t>
            </w:r>
          </w:p>
        </w:tc>
        <w:tc>
          <w:tcPr>
            <w:tcW w:w="3760" w:type="dxa"/>
          </w:tcPr>
          <w:p w14:paraId="0F2D1D0A" w14:textId="448D2E51" w:rsidR="00422A2A" w:rsidRPr="00941DA8" w:rsidRDefault="00422A2A" w:rsidP="005A43AF">
            <w:pPr>
              <w:pStyle w:val="Point0number"/>
              <w:numPr>
                <w:ilvl w:val="0"/>
                <w:numId w:val="0"/>
              </w:numPr>
              <w:tabs>
                <w:tab w:val="left" w:pos="720"/>
              </w:tabs>
              <w:spacing w:before="0" w:after="0"/>
              <w:rPr>
                <w:szCs w:val="24"/>
                <w:lang w:val="lv-LV"/>
              </w:rPr>
            </w:pPr>
            <w:r w:rsidRPr="00941DA8">
              <w:rPr>
                <w:b/>
                <w:bCs/>
                <w:szCs w:val="24"/>
                <w:lang w:val="lv-LV"/>
              </w:rPr>
              <w:t xml:space="preserve">Regulēšanas elektroenerģijas cena </w:t>
            </w:r>
            <w:r w:rsidRPr="00941DA8">
              <w:rPr>
                <w:szCs w:val="24"/>
                <w:lang w:val="lv-LV"/>
              </w:rPr>
              <w:t xml:space="preserve">– regulēšanas cena, kas atbilst sistēmas balansēšanas izmaksām un tiek izmantota </w:t>
            </w:r>
            <w:proofErr w:type="spellStart"/>
            <w:r w:rsidRPr="00941DA8">
              <w:rPr>
                <w:szCs w:val="24"/>
                <w:lang w:val="lv-LV"/>
              </w:rPr>
              <w:t>nebalansa</w:t>
            </w:r>
            <w:proofErr w:type="spellEnd"/>
            <w:r w:rsidRPr="00941DA8">
              <w:rPr>
                <w:szCs w:val="24"/>
                <w:lang w:val="lv-LV"/>
              </w:rPr>
              <w:t xml:space="preserve"> cenas aprēķinā;</w:t>
            </w:r>
          </w:p>
        </w:tc>
      </w:tr>
      <w:tr w:rsidR="00F527BD" w14:paraId="6D63C4F9" w14:textId="77777777" w:rsidTr="00F527BD">
        <w:tc>
          <w:tcPr>
            <w:tcW w:w="1276" w:type="dxa"/>
          </w:tcPr>
          <w:p w14:paraId="0DE44ED7" w14:textId="77777777" w:rsidR="00422A2A" w:rsidRPr="0030041C" w:rsidRDefault="00422A2A" w:rsidP="005A43AF">
            <w:pPr>
              <w:pStyle w:val="Point0number"/>
              <w:numPr>
                <w:ilvl w:val="1"/>
                <w:numId w:val="35"/>
              </w:numPr>
              <w:tabs>
                <w:tab w:val="left" w:pos="720"/>
              </w:tabs>
              <w:spacing w:before="0" w:after="0"/>
              <w:rPr>
                <w:b/>
                <w:bCs/>
                <w:szCs w:val="24"/>
                <w:lang w:val="en-US"/>
              </w:rPr>
            </w:pPr>
          </w:p>
        </w:tc>
        <w:tc>
          <w:tcPr>
            <w:tcW w:w="3890" w:type="dxa"/>
          </w:tcPr>
          <w:p w14:paraId="69FEA90B" w14:textId="1782BEF4" w:rsidR="00422A2A" w:rsidRPr="0030041C" w:rsidRDefault="00422A2A" w:rsidP="00422A2A">
            <w:pPr>
              <w:pStyle w:val="Point0number"/>
              <w:numPr>
                <w:ilvl w:val="0"/>
                <w:numId w:val="0"/>
              </w:numPr>
              <w:tabs>
                <w:tab w:val="left" w:pos="720"/>
              </w:tabs>
              <w:spacing w:before="0" w:after="0"/>
              <w:rPr>
                <w:szCs w:val="24"/>
                <w:lang w:val="en-US"/>
              </w:rPr>
            </w:pPr>
            <w:r w:rsidRPr="0030041C">
              <w:rPr>
                <w:b/>
                <w:bCs/>
                <w:szCs w:val="24"/>
                <w:lang w:val="en-US"/>
              </w:rPr>
              <w:t>control error (ACE)</w:t>
            </w:r>
            <w:r w:rsidRPr="0030041C">
              <w:rPr>
                <w:szCs w:val="24"/>
                <w:lang w:val="en-US"/>
              </w:rPr>
              <w:t xml:space="preserve"> - the difference between measured physical flow and final external schedules of control area in MW;</w:t>
            </w:r>
          </w:p>
        </w:tc>
        <w:tc>
          <w:tcPr>
            <w:tcW w:w="3760" w:type="dxa"/>
          </w:tcPr>
          <w:p w14:paraId="69A8020E" w14:textId="78237AB2"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b/>
                <w:bCs/>
                <w:sz w:val="24"/>
                <w:szCs w:val="24"/>
              </w:rPr>
              <w:t xml:space="preserve">Zonas kontroles kļūda – </w:t>
            </w:r>
            <w:r w:rsidRPr="0030041C">
              <w:rPr>
                <w:rFonts w:ascii="Times New Roman" w:hAnsi="Times New Roman" w:cs="Times New Roman"/>
                <w:sz w:val="24"/>
                <w:szCs w:val="24"/>
              </w:rPr>
              <w:t>starpība starp izmērīto fizisko plūsmu un kontroles zonas un galējiem kontroles zonas grafikiem MW;</w:t>
            </w:r>
          </w:p>
        </w:tc>
      </w:tr>
      <w:tr w:rsidR="00F527BD" w14:paraId="1E433531" w14:textId="77777777" w:rsidTr="00F527BD">
        <w:tc>
          <w:tcPr>
            <w:tcW w:w="1276" w:type="dxa"/>
          </w:tcPr>
          <w:p w14:paraId="4E80F38A" w14:textId="77777777" w:rsidR="00422A2A" w:rsidRPr="00946CD0" w:rsidRDefault="00422A2A" w:rsidP="005A43AF">
            <w:pPr>
              <w:pStyle w:val="Point0number"/>
              <w:numPr>
                <w:ilvl w:val="1"/>
                <w:numId w:val="35"/>
              </w:numPr>
              <w:tabs>
                <w:tab w:val="left" w:pos="720"/>
              </w:tabs>
              <w:spacing w:before="0" w:after="0"/>
              <w:rPr>
                <w:b/>
                <w:bCs/>
                <w:szCs w:val="24"/>
                <w:lang w:val="en-US"/>
              </w:rPr>
            </w:pPr>
          </w:p>
        </w:tc>
        <w:tc>
          <w:tcPr>
            <w:tcW w:w="3890" w:type="dxa"/>
          </w:tcPr>
          <w:p w14:paraId="27888842" w14:textId="0AB14A6D" w:rsidR="00422A2A" w:rsidRPr="0030041C" w:rsidRDefault="00422A2A" w:rsidP="00422A2A">
            <w:pPr>
              <w:pStyle w:val="Point0number"/>
              <w:numPr>
                <w:ilvl w:val="0"/>
                <w:numId w:val="0"/>
              </w:numPr>
              <w:tabs>
                <w:tab w:val="left" w:pos="720"/>
              </w:tabs>
              <w:spacing w:before="0" w:after="0"/>
              <w:rPr>
                <w:szCs w:val="24"/>
                <w:lang w:val="en-US"/>
              </w:rPr>
            </w:pPr>
            <w:r w:rsidRPr="00946CD0">
              <w:rPr>
                <w:b/>
                <w:bCs/>
                <w:szCs w:val="24"/>
                <w:lang w:val="en-US"/>
              </w:rPr>
              <w:t>Merit order list (MOL)</w:t>
            </w:r>
            <w:r w:rsidRPr="0030041C">
              <w:rPr>
                <w:szCs w:val="24"/>
                <w:lang w:val="en-US"/>
              </w:rPr>
              <w:t xml:space="preserve"> - </w:t>
            </w:r>
            <w:r w:rsidRPr="00946CD0">
              <w:rPr>
                <w:szCs w:val="24"/>
                <w:lang w:val="en-US"/>
              </w:rPr>
              <w:t>a list of balancing product bids of TSO control area by product sorted in order of their bid prices;</w:t>
            </w:r>
          </w:p>
        </w:tc>
        <w:tc>
          <w:tcPr>
            <w:tcW w:w="3760" w:type="dxa"/>
          </w:tcPr>
          <w:p w14:paraId="3BE012EF" w14:textId="03400B00"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b/>
                <w:bCs/>
                <w:sz w:val="24"/>
                <w:szCs w:val="24"/>
              </w:rPr>
              <w:t xml:space="preserve">Izdevīguma secības saraksts </w:t>
            </w:r>
            <w:r w:rsidRPr="0030041C">
              <w:rPr>
                <w:rFonts w:ascii="Times New Roman" w:hAnsi="Times New Roman" w:cs="Times New Roman"/>
                <w:sz w:val="24"/>
                <w:szCs w:val="24"/>
              </w:rPr>
              <w:t>– kontroles zonas attiecīgā regulēšanas produkta solījumu saraksts, kas sarindots pēc to cenas;</w:t>
            </w:r>
          </w:p>
        </w:tc>
      </w:tr>
      <w:tr w:rsidR="00F527BD" w14:paraId="65D64456" w14:textId="77777777" w:rsidTr="00F527BD">
        <w:tc>
          <w:tcPr>
            <w:tcW w:w="1276" w:type="dxa"/>
          </w:tcPr>
          <w:p w14:paraId="15DBE371" w14:textId="77777777" w:rsidR="00422A2A" w:rsidRPr="00946CD0" w:rsidRDefault="00422A2A" w:rsidP="005A43AF">
            <w:pPr>
              <w:pStyle w:val="Point0number"/>
              <w:numPr>
                <w:ilvl w:val="1"/>
                <w:numId w:val="35"/>
              </w:numPr>
              <w:tabs>
                <w:tab w:val="left" w:pos="720"/>
              </w:tabs>
              <w:spacing w:before="0" w:after="0"/>
              <w:rPr>
                <w:b/>
                <w:bCs/>
                <w:szCs w:val="24"/>
                <w:lang w:val="en-US"/>
              </w:rPr>
            </w:pPr>
          </w:p>
        </w:tc>
        <w:tc>
          <w:tcPr>
            <w:tcW w:w="3890" w:type="dxa"/>
          </w:tcPr>
          <w:p w14:paraId="135C4E87" w14:textId="440BDAF6" w:rsidR="00422A2A" w:rsidRPr="00946CD0" w:rsidRDefault="00422A2A" w:rsidP="00422A2A">
            <w:pPr>
              <w:pStyle w:val="Point0number"/>
              <w:numPr>
                <w:ilvl w:val="0"/>
                <w:numId w:val="0"/>
              </w:numPr>
              <w:tabs>
                <w:tab w:val="left" w:pos="720"/>
              </w:tabs>
              <w:spacing w:before="0" w:after="0"/>
              <w:rPr>
                <w:szCs w:val="24"/>
                <w:lang w:val="en-US"/>
              </w:rPr>
            </w:pPr>
            <w:r w:rsidRPr="00946CD0">
              <w:rPr>
                <w:b/>
                <w:bCs/>
                <w:szCs w:val="24"/>
                <w:lang w:val="en-US"/>
              </w:rPr>
              <w:t>Normal activation</w:t>
            </w:r>
            <w:r w:rsidRPr="00946CD0">
              <w:rPr>
                <w:szCs w:val="24"/>
                <w:lang w:val="en-US"/>
              </w:rPr>
              <w:t xml:space="preserve"> - activation of </w:t>
            </w:r>
            <w:proofErr w:type="spellStart"/>
            <w:r w:rsidRPr="00946CD0">
              <w:rPr>
                <w:szCs w:val="24"/>
                <w:lang w:val="en-US"/>
              </w:rPr>
              <w:t>mFRR</w:t>
            </w:r>
            <w:proofErr w:type="spellEnd"/>
            <w:r w:rsidRPr="00946CD0">
              <w:rPr>
                <w:szCs w:val="24"/>
                <w:lang w:val="en-US"/>
              </w:rPr>
              <w:t xml:space="preserve"> </w:t>
            </w:r>
            <w:proofErr w:type="spellStart"/>
            <w:r w:rsidRPr="00946CD0">
              <w:rPr>
                <w:szCs w:val="24"/>
                <w:lang w:val="en-US"/>
              </w:rPr>
              <w:t>standart</w:t>
            </w:r>
            <w:proofErr w:type="spellEnd"/>
            <w:r w:rsidRPr="00946CD0">
              <w:rPr>
                <w:szCs w:val="24"/>
                <w:lang w:val="en-US"/>
              </w:rPr>
              <w:t xml:space="preserve"> balancing energy bids for balancing purposes with aim of minimizing the ACE</w:t>
            </w:r>
          </w:p>
        </w:tc>
        <w:tc>
          <w:tcPr>
            <w:tcW w:w="3760" w:type="dxa"/>
          </w:tcPr>
          <w:p w14:paraId="573D4D95" w14:textId="227DCDC3" w:rsidR="00422A2A" w:rsidRPr="0030041C" w:rsidRDefault="00422A2A" w:rsidP="005A43AF">
            <w:pPr>
              <w:jc w:val="both"/>
              <w:rPr>
                <w:rFonts w:ascii="Times New Roman" w:hAnsi="Times New Roman" w:cs="Times New Roman"/>
                <w:b/>
                <w:sz w:val="24"/>
                <w:szCs w:val="24"/>
              </w:rPr>
            </w:pPr>
            <w:r w:rsidRPr="0030041C">
              <w:rPr>
                <w:rFonts w:ascii="Times New Roman" w:hAnsi="Times New Roman" w:cs="Times New Roman"/>
                <w:b/>
                <w:sz w:val="24"/>
                <w:szCs w:val="24"/>
              </w:rPr>
              <w:t xml:space="preserve">Normālā aktivizācija – </w:t>
            </w:r>
            <w:proofErr w:type="spellStart"/>
            <w:r w:rsidRPr="0030041C">
              <w:rPr>
                <w:rFonts w:ascii="Times New Roman" w:hAnsi="Times New Roman" w:cs="Times New Roman"/>
                <w:b/>
                <w:sz w:val="24"/>
                <w:szCs w:val="24"/>
              </w:rPr>
              <w:t>mFRR</w:t>
            </w:r>
            <w:proofErr w:type="spellEnd"/>
            <w:r w:rsidRPr="0030041C">
              <w:rPr>
                <w:rFonts w:ascii="Times New Roman" w:hAnsi="Times New Roman" w:cs="Times New Roman"/>
                <w:b/>
                <w:sz w:val="24"/>
                <w:szCs w:val="24"/>
              </w:rPr>
              <w:t xml:space="preserve"> standarta </w:t>
            </w:r>
            <w:r w:rsidRPr="0030041C">
              <w:rPr>
                <w:rFonts w:ascii="Times New Roman" w:hAnsi="Times New Roman" w:cs="Times New Roman"/>
                <w:sz w:val="24"/>
                <w:szCs w:val="24"/>
              </w:rPr>
              <w:t xml:space="preserve">regulēšanas produkta solījumu aktivizācija </w:t>
            </w:r>
            <w:r w:rsidRPr="0030041C">
              <w:rPr>
                <w:rFonts w:ascii="Times New Roman" w:hAnsi="Times New Roman" w:cs="Times New Roman"/>
                <w:bCs/>
                <w:sz w:val="24"/>
                <w:szCs w:val="24"/>
              </w:rPr>
              <w:t xml:space="preserve">balansēšanas vajadzībām </w:t>
            </w:r>
            <w:r w:rsidRPr="0030041C">
              <w:rPr>
                <w:rFonts w:ascii="Times New Roman" w:hAnsi="Times New Roman" w:cs="Times New Roman"/>
                <w:sz w:val="24"/>
                <w:szCs w:val="24"/>
              </w:rPr>
              <w:t xml:space="preserve">ar mērķi </w:t>
            </w:r>
            <w:r w:rsidRPr="0030041C">
              <w:rPr>
                <w:rFonts w:ascii="Times New Roman" w:hAnsi="Times New Roman" w:cs="Times New Roman"/>
                <w:bCs/>
                <w:sz w:val="24"/>
                <w:szCs w:val="24"/>
              </w:rPr>
              <w:t>mazināt ACE</w:t>
            </w:r>
          </w:p>
        </w:tc>
      </w:tr>
      <w:tr w:rsidR="00F527BD" w14:paraId="6D108DED" w14:textId="77777777" w:rsidTr="00F527BD">
        <w:tc>
          <w:tcPr>
            <w:tcW w:w="1276" w:type="dxa"/>
          </w:tcPr>
          <w:p w14:paraId="3707EEE8" w14:textId="77777777" w:rsidR="00422A2A" w:rsidRPr="00946CD0" w:rsidRDefault="00422A2A" w:rsidP="005A43AF">
            <w:pPr>
              <w:pStyle w:val="Point0number"/>
              <w:numPr>
                <w:ilvl w:val="1"/>
                <w:numId w:val="35"/>
              </w:numPr>
              <w:tabs>
                <w:tab w:val="left" w:pos="720"/>
              </w:tabs>
              <w:spacing w:before="0" w:after="0"/>
              <w:rPr>
                <w:b/>
                <w:bCs/>
                <w:szCs w:val="24"/>
                <w:lang w:val="en-US"/>
              </w:rPr>
            </w:pPr>
          </w:p>
        </w:tc>
        <w:tc>
          <w:tcPr>
            <w:tcW w:w="3890" w:type="dxa"/>
          </w:tcPr>
          <w:p w14:paraId="68089711" w14:textId="2FB111E3" w:rsidR="00422A2A" w:rsidRPr="00946CD0" w:rsidRDefault="00422A2A" w:rsidP="00422A2A">
            <w:pPr>
              <w:pStyle w:val="Point0number"/>
              <w:numPr>
                <w:ilvl w:val="0"/>
                <w:numId w:val="0"/>
              </w:numPr>
              <w:tabs>
                <w:tab w:val="left" w:pos="720"/>
              </w:tabs>
              <w:spacing w:before="0" w:after="0"/>
              <w:rPr>
                <w:szCs w:val="24"/>
                <w:lang w:val="en-US"/>
              </w:rPr>
            </w:pPr>
            <w:r w:rsidRPr="00946CD0">
              <w:rPr>
                <w:b/>
                <w:bCs/>
                <w:szCs w:val="24"/>
                <w:lang w:val="en-US"/>
              </w:rPr>
              <w:t>Special activation</w:t>
            </w:r>
            <w:r w:rsidRPr="00946CD0">
              <w:rPr>
                <w:szCs w:val="24"/>
                <w:lang w:val="en-US"/>
              </w:rPr>
              <w:t xml:space="preserve"> - activation of </w:t>
            </w:r>
            <w:proofErr w:type="spellStart"/>
            <w:r w:rsidRPr="00946CD0">
              <w:rPr>
                <w:szCs w:val="24"/>
                <w:lang w:val="en-US"/>
              </w:rPr>
              <w:t>mFRR</w:t>
            </w:r>
            <w:proofErr w:type="spellEnd"/>
            <w:r w:rsidRPr="00946CD0">
              <w:rPr>
                <w:szCs w:val="24"/>
                <w:lang w:val="en-US"/>
              </w:rPr>
              <w:t xml:space="preserve"> </w:t>
            </w:r>
            <w:proofErr w:type="spellStart"/>
            <w:r w:rsidRPr="00946CD0">
              <w:rPr>
                <w:szCs w:val="24"/>
                <w:lang w:val="en-US"/>
              </w:rPr>
              <w:t>standart</w:t>
            </w:r>
            <w:proofErr w:type="spellEnd"/>
            <w:r w:rsidRPr="00946CD0">
              <w:rPr>
                <w:szCs w:val="24"/>
                <w:lang w:val="en-US"/>
              </w:rPr>
              <w:t xml:space="preserve"> balancing energy bids for other purposes than balancing purposes and can be specified as special activation countertrade or special activation other.</w:t>
            </w:r>
          </w:p>
        </w:tc>
        <w:tc>
          <w:tcPr>
            <w:tcW w:w="3760" w:type="dxa"/>
          </w:tcPr>
          <w:p w14:paraId="2C9862BC" w14:textId="07145EEF" w:rsidR="00422A2A" w:rsidRPr="0030041C" w:rsidRDefault="00422A2A" w:rsidP="005A43AF">
            <w:pPr>
              <w:jc w:val="both"/>
              <w:rPr>
                <w:rFonts w:ascii="Times New Roman" w:hAnsi="Times New Roman" w:cs="Times New Roman"/>
                <w:b/>
                <w:sz w:val="24"/>
                <w:szCs w:val="24"/>
              </w:rPr>
            </w:pPr>
            <w:r w:rsidRPr="0030041C">
              <w:rPr>
                <w:rFonts w:ascii="Times New Roman" w:hAnsi="Times New Roman" w:cs="Times New Roman"/>
                <w:b/>
                <w:bCs/>
                <w:sz w:val="24"/>
                <w:szCs w:val="24"/>
              </w:rPr>
              <w:t>Speciālā aktivizācija</w:t>
            </w:r>
            <w:r w:rsidRPr="0030041C">
              <w:rPr>
                <w:rFonts w:ascii="Times New Roman" w:hAnsi="Times New Roman" w:cs="Times New Roman"/>
                <w:b/>
                <w:bCs/>
                <w:sz w:val="24"/>
                <w:szCs w:val="24"/>
                <w:lang w:val="en-US"/>
              </w:rPr>
              <w:t xml:space="preserve"> – </w:t>
            </w:r>
            <w:proofErr w:type="spellStart"/>
            <w:r w:rsidRPr="0030041C">
              <w:rPr>
                <w:rFonts w:ascii="Times New Roman" w:hAnsi="Times New Roman" w:cs="Times New Roman"/>
                <w:b/>
                <w:bCs/>
                <w:sz w:val="24"/>
                <w:szCs w:val="24"/>
                <w:lang w:val="en-US"/>
              </w:rPr>
              <w:t>mFRR</w:t>
            </w:r>
            <w:proofErr w:type="spellEnd"/>
            <w:r w:rsidRPr="0030041C">
              <w:rPr>
                <w:rFonts w:ascii="Times New Roman" w:hAnsi="Times New Roman" w:cs="Times New Roman"/>
                <w:b/>
                <w:bCs/>
                <w:sz w:val="24"/>
                <w:szCs w:val="24"/>
                <w:lang w:val="en-US"/>
              </w:rPr>
              <w:t xml:space="preserve"> </w:t>
            </w:r>
            <w:proofErr w:type="spellStart"/>
            <w:r w:rsidRPr="0030041C">
              <w:rPr>
                <w:rFonts w:ascii="Times New Roman" w:hAnsi="Times New Roman" w:cs="Times New Roman"/>
                <w:b/>
                <w:bCs/>
                <w:sz w:val="24"/>
                <w:szCs w:val="24"/>
                <w:lang w:val="en-US"/>
              </w:rPr>
              <w:t>standarta</w:t>
            </w:r>
            <w:proofErr w:type="spellEnd"/>
            <w:r w:rsidRPr="0030041C">
              <w:rPr>
                <w:rFonts w:ascii="Times New Roman" w:hAnsi="Times New Roman" w:cs="Times New Roman"/>
                <w:b/>
                <w:bCs/>
                <w:sz w:val="24"/>
                <w:szCs w:val="24"/>
                <w:lang w:val="en-US"/>
              </w:rPr>
              <w:t xml:space="preserve"> </w:t>
            </w:r>
            <w:r w:rsidRPr="0030041C">
              <w:rPr>
                <w:rFonts w:ascii="Times New Roman" w:hAnsi="Times New Roman" w:cs="Times New Roman"/>
                <w:bCs/>
                <w:sz w:val="24"/>
                <w:szCs w:val="24"/>
              </w:rPr>
              <w:t>regulēšanas produkta solījumu aktivizācija ar balansēšanu nesaistītām vajadzībām, kas var tikt kvalificēta kā speciālā aktivizācija kompensācijas tirdzniecība vai cita speciālā aktivizācija</w:t>
            </w:r>
          </w:p>
        </w:tc>
      </w:tr>
      <w:tr w:rsidR="00F527BD" w14:paraId="740772E1" w14:textId="77777777" w:rsidTr="00F527BD">
        <w:tc>
          <w:tcPr>
            <w:tcW w:w="1276" w:type="dxa"/>
          </w:tcPr>
          <w:p w14:paraId="2E713E8E" w14:textId="77777777" w:rsidR="00422A2A" w:rsidRPr="0030041C" w:rsidRDefault="00422A2A" w:rsidP="005A43AF">
            <w:pPr>
              <w:pStyle w:val="Point0number"/>
              <w:numPr>
                <w:ilvl w:val="1"/>
                <w:numId w:val="35"/>
              </w:numPr>
              <w:tabs>
                <w:tab w:val="left" w:pos="720"/>
              </w:tabs>
              <w:spacing w:before="0" w:after="0"/>
              <w:rPr>
                <w:b/>
                <w:bCs/>
                <w:szCs w:val="24"/>
                <w:lang w:val="en-US"/>
              </w:rPr>
            </w:pPr>
          </w:p>
        </w:tc>
        <w:tc>
          <w:tcPr>
            <w:tcW w:w="3890" w:type="dxa"/>
          </w:tcPr>
          <w:p w14:paraId="2F21AFD0" w14:textId="46651206" w:rsidR="00422A2A" w:rsidRPr="0030041C" w:rsidRDefault="00422A2A" w:rsidP="00422A2A">
            <w:pPr>
              <w:pStyle w:val="Point0number"/>
              <w:numPr>
                <w:ilvl w:val="0"/>
                <w:numId w:val="0"/>
              </w:numPr>
              <w:tabs>
                <w:tab w:val="left" w:pos="720"/>
              </w:tabs>
              <w:spacing w:before="0" w:after="0"/>
              <w:rPr>
                <w:szCs w:val="24"/>
                <w:lang w:val="en-US"/>
              </w:rPr>
            </w:pPr>
            <w:r w:rsidRPr="0030041C">
              <w:rPr>
                <w:b/>
                <w:bCs/>
                <w:szCs w:val="24"/>
                <w:lang w:val="en-US"/>
              </w:rPr>
              <w:t>Local marginal price (LMP)-</w:t>
            </w:r>
            <w:r w:rsidRPr="00946CD0">
              <w:rPr>
                <w:szCs w:val="24"/>
                <w:lang w:val="en-US"/>
              </w:rPr>
              <w:t xml:space="preserve"> the marginal price of </w:t>
            </w:r>
            <w:proofErr w:type="spellStart"/>
            <w:r w:rsidRPr="00946CD0">
              <w:rPr>
                <w:szCs w:val="24"/>
                <w:lang w:val="en-US"/>
              </w:rPr>
              <w:t>mFRR</w:t>
            </w:r>
            <w:proofErr w:type="spellEnd"/>
            <w:r w:rsidRPr="00946CD0">
              <w:rPr>
                <w:szCs w:val="24"/>
                <w:lang w:val="en-US"/>
              </w:rPr>
              <w:t xml:space="preserve"> standard balancing product energy bids activated via normal local activation</w:t>
            </w:r>
          </w:p>
        </w:tc>
        <w:tc>
          <w:tcPr>
            <w:tcW w:w="3760" w:type="dxa"/>
          </w:tcPr>
          <w:p w14:paraId="3A629C00" w14:textId="6EBC1F0E"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b/>
                <w:sz w:val="24"/>
                <w:szCs w:val="24"/>
              </w:rPr>
              <w:t>Lokālā robežcena (LMP)</w:t>
            </w:r>
            <w:r w:rsidRPr="0030041C">
              <w:rPr>
                <w:rFonts w:ascii="Times New Roman" w:hAnsi="Times New Roman" w:cs="Times New Roman"/>
                <w:bCs/>
                <w:sz w:val="24"/>
                <w:szCs w:val="24"/>
              </w:rPr>
              <w:t xml:space="preserve"> – </w:t>
            </w:r>
            <w:proofErr w:type="spellStart"/>
            <w:r w:rsidRPr="0030041C">
              <w:rPr>
                <w:rFonts w:ascii="Times New Roman" w:hAnsi="Times New Roman" w:cs="Times New Roman"/>
                <w:bCs/>
                <w:sz w:val="24"/>
                <w:szCs w:val="24"/>
              </w:rPr>
              <w:t>mFRR</w:t>
            </w:r>
            <w:proofErr w:type="spellEnd"/>
            <w:r w:rsidRPr="0030041C">
              <w:rPr>
                <w:rFonts w:ascii="Times New Roman" w:hAnsi="Times New Roman" w:cs="Times New Roman"/>
                <w:bCs/>
                <w:sz w:val="24"/>
                <w:szCs w:val="24"/>
              </w:rPr>
              <w:t xml:space="preserve"> standarta regulēšanas produktu solījumu, kas aktivizēti ar normālu lokālo aktivizāciju, robežcena</w:t>
            </w:r>
          </w:p>
        </w:tc>
      </w:tr>
      <w:tr w:rsidR="00F527BD" w14:paraId="1C5631A4" w14:textId="77777777" w:rsidTr="00F527BD">
        <w:tc>
          <w:tcPr>
            <w:tcW w:w="1276" w:type="dxa"/>
          </w:tcPr>
          <w:p w14:paraId="5B131287" w14:textId="77777777" w:rsidR="00422A2A" w:rsidRPr="0030041C" w:rsidRDefault="00422A2A" w:rsidP="005A43AF">
            <w:pPr>
              <w:pStyle w:val="Point0number"/>
              <w:numPr>
                <w:ilvl w:val="1"/>
                <w:numId w:val="35"/>
              </w:numPr>
              <w:tabs>
                <w:tab w:val="left" w:pos="720"/>
              </w:tabs>
              <w:spacing w:before="0" w:after="0"/>
              <w:rPr>
                <w:b/>
                <w:bCs/>
                <w:szCs w:val="24"/>
                <w:lang w:val="en-US"/>
              </w:rPr>
            </w:pPr>
          </w:p>
        </w:tc>
        <w:tc>
          <w:tcPr>
            <w:tcW w:w="3890" w:type="dxa"/>
          </w:tcPr>
          <w:p w14:paraId="0ADBAF9C" w14:textId="4979A746" w:rsidR="00422A2A" w:rsidRPr="0030041C" w:rsidRDefault="00422A2A" w:rsidP="00422A2A">
            <w:pPr>
              <w:pStyle w:val="Point0number"/>
              <w:numPr>
                <w:ilvl w:val="0"/>
                <w:numId w:val="0"/>
              </w:numPr>
              <w:tabs>
                <w:tab w:val="left" w:pos="720"/>
              </w:tabs>
              <w:spacing w:before="0" w:after="0"/>
              <w:rPr>
                <w:szCs w:val="24"/>
                <w:lang w:val="en-US"/>
              </w:rPr>
            </w:pPr>
            <w:r w:rsidRPr="0030041C">
              <w:rPr>
                <w:b/>
                <w:bCs/>
                <w:szCs w:val="24"/>
                <w:lang w:val="en-US"/>
              </w:rPr>
              <w:t>Marginal price (MP)</w:t>
            </w:r>
            <w:r w:rsidRPr="0030041C">
              <w:rPr>
                <w:szCs w:val="24"/>
                <w:lang w:val="en-US"/>
              </w:rPr>
              <w:t xml:space="preserve"> – the marginal price of </w:t>
            </w:r>
            <w:proofErr w:type="spellStart"/>
            <w:r w:rsidRPr="0030041C">
              <w:rPr>
                <w:szCs w:val="24"/>
                <w:lang w:val="en-US"/>
              </w:rPr>
              <w:t>aFRR</w:t>
            </w:r>
            <w:proofErr w:type="spellEnd"/>
            <w:r w:rsidRPr="0030041C">
              <w:rPr>
                <w:szCs w:val="24"/>
                <w:lang w:val="en-US"/>
              </w:rPr>
              <w:t xml:space="preserve"> standard balancing product energy bids activated in the control zone </w:t>
            </w:r>
          </w:p>
        </w:tc>
        <w:tc>
          <w:tcPr>
            <w:tcW w:w="3760" w:type="dxa"/>
          </w:tcPr>
          <w:p w14:paraId="28ECB7DC" w14:textId="07789962" w:rsidR="00422A2A" w:rsidRPr="0030041C" w:rsidRDefault="00422A2A" w:rsidP="005A43AF">
            <w:pPr>
              <w:jc w:val="both"/>
              <w:rPr>
                <w:rFonts w:ascii="Times New Roman" w:hAnsi="Times New Roman" w:cs="Times New Roman"/>
                <w:b/>
                <w:sz w:val="24"/>
                <w:szCs w:val="24"/>
              </w:rPr>
            </w:pPr>
            <w:r w:rsidRPr="0030041C">
              <w:rPr>
                <w:rFonts w:ascii="Times New Roman" w:hAnsi="Times New Roman" w:cs="Times New Roman"/>
                <w:b/>
                <w:sz w:val="24"/>
                <w:szCs w:val="24"/>
              </w:rPr>
              <w:t>Robežcena (MP)-</w:t>
            </w:r>
            <w:r w:rsidRPr="0030041C">
              <w:rPr>
                <w:rFonts w:ascii="Times New Roman" w:hAnsi="Times New Roman" w:cs="Times New Roman"/>
                <w:bCs/>
                <w:sz w:val="24"/>
                <w:szCs w:val="24"/>
              </w:rPr>
              <w:t xml:space="preserve"> </w:t>
            </w:r>
            <w:proofErr w:type="spellStart"/>
            <w:r w:rsidRPr="0030041C">
              <w:rPr>
                <w:rFonts w:ascii="Times New Roman" w:hAnsi="Times New Roman" w:cs="Times New Roman"/>
                <w:bCs/>
                <w:sz w:val="24"/>
                <w:szCs w:val="24"/>
              </w:rPr>
              <w:t>aFRR</w:t>
            </w:r>
            <w:proofErr w:type="spellEnd"/>
            <w:r w:rsidRPr="0030041C">
              <w:rPr>
                <w:rFonts w:ascii="Times New Roman" w:hAnsi="Times New Roman" w:cs="Times New Roman"/>
                <w:bCs/>
                <w:sz w:val="24"/>
                <w:szCs w:val="24"/>
              </w:rPr>
              <w:t xml:space="preserve"> standarta regulēšanas produktu solījumu, kas aktivizēti kontroles zonā, robežcena</w:t>
            </w:r>
          </w:p>
        </w:tc>
      </w:tr>
      <w:tr w:rsidR="00F527BD" w14:paraId="1C55B90A" w14:textId="77777777" w:rsidTr="00F527BD">
        <w:tc>
          <w:tcPr>
            <w:tcW w:w="1276" w:type="dxa"/>
          </w:tcPr>
          <w:p w14:paraId="64990852" w14:textId="77777777" w:rsidR="00422A2A" w:rsidRPr="0030041C" w:rsidRDefault="00422A2A" w:rsidP="005A43AF">
            <w:pPr>
              <w:pStyle w:val="Point0number"/>
              <w:numPr>
                <w:ilvl w:val="1"/>
                <w:numId w:val="35"/>
              </w:numPr>
              <w:tabs>
                <w:tab w:val="left" w:pos="720"/>
              </w:tabs>
              <w:spacing w:before="0" w:after="0"/>
              <w:rPr>
                <w:b/>
                <w:bCs/>
                <w:szCs w:val="24"/>
                <w:lang w:val="en-US"/>
              </w:rPr>
            </w:pPr>
          </w:p>
        </w:tc>
        <w:tc>
          <w:tcPr>
            <w:tcW w:w="3890" w:type="dxa"/>
          </w:tcPr>
          <w:p w14:paraId="566D370B" w14:textId="05BAA6AE" w:rsidR="00422A2A" w:rsidRPr="0030041C" w:rsidRDefault="00422A2A" w:rsidP="00422A2A">
            <w:pPr>
              <w:pStyle w:val="Point0number"/>
              <w:numPr>
                <w:ilvl w:val="0"/>
                <w:numId w:val="0"/>
              </w:numPr>
              <w:tabs>
                <w:tab w:val="left" w:pos="720"/>
              </w:tabs>
              <w:spacing w:before="0" w:after="0"/>
              <w:rPr>
                <w:szCs w:val="24"/>
                <w:lang w:val="en-US"/>
              </w:rPr>
            </w:pPr>
            <w:proofErr w:type="spellStart"/>
            <w:r w:rsidRPr="0030041C">
              <w:rPr>
                <w:b/>
                <w:bCs/>
                <w:szCs w:val="24"/>
                <w:lang w:val="en-US"/>
              </w:rPr>
              <w:t>mFRR</w:t>
            </w:r>
            <w:proofErr w:type="spellEnd"/>
            <w:r w:rsidRPr="0030041C">
              <w:rPr>
                <w:szCs w:val="24"/>
                <w:lang w:val="en-US"/>
              </w:rPr>
              <w:t xml:space="preserve"> - </w:t>
            </w:r>
            <w:r w:rsidRPr="00946CD0">
              <w:rPr>
                <w:szCs w:val="24"/>
                <w:lang w:val="en-US"/>
              </w:rPr>
              <w:t>manual frequency restoration reserve</w:t>
            </w:r>
          </w:p>
        </w:tc>
        <w:tc>
          <w:tcPr>
            <w:tcW w:w="3760" w:type="dxa"/>
          </w:tcPr>
          <w:p w14:paraId="36E578BD" w14:textId="3DC316EF" w:rsidR="00422A2A" w:rsidRPr="0030041C" w:rsidRDefault="00422A2A" w:rsidP="005A43AF">
            <w:pPr>
              <w:jc w:val="both"/>
              <w:rPr>
                <w:rFonts w:ascii="Times New Roman" w:hAnsi="Times New Roman" w:cs="Times New Roman"/>
                <w:b/>
                <w:sz w:val="24"/>
                <w:szCs w:val="24"/>
              </w:rPr>
            </w:pPr>
            <w:proofErr w:type="spellStart"/>
            <w:r w:rsidRPr="0030041C">
              <w:rPr>
                <w:rFonts w:ascii="Times New Roman" w:hAnsi="Times New Roman" w:cs="Times New Roman"/>
                <w:b/>
                <w:sz w:val="24"/>
                <w:szCs w:val="24"/>
              </w:rPr>
              <w:t>mFRR</w:t>
            </w:r>
            <w:proofErr w:type="spellEnd"/>
            <w:r w:rsidRPr="0030041C">
              <w:rPr>
                <w:rFonts w:ascii="Times New Roman" w:hAnsi="Times New Roman" w:cs="Times New Roman"/>
                <w:b/>
                <w:sz w:val="24"/>
                <w:szCs w:val="24"/>
              </w:rPr>
              <w:t xml:space="preserve"> </w:t>
            </w:r>
            <w:r w:rsidRPr="0030041C">
              <w:rPr>
                <w:rFonts w:ascii="Times New Roman" w:hAnsi="Times New Roman" w:cs="Times New Roman"/>
                <w:bCs/>
                <w:sz w:val="24"/>
                <w:szCs w:val="24"/>
              </w:rPr>
              <w:t>– frekvences atjaunošanas rezerves ar manuālu aktivizāciju</w:t>
            </w:r>
          </w:p>
        </w:tc>
      </w:tr>
      <w:tr w:rsidR="00F527BD" w14:paraId="35013751" w14:textId="77777777" w:rsidTr="00F527BD">
        <w:tc>
          <w:tcPr>
            <w:tcW w:w="1276" w:type="dxa"/>
          </w:tcPr>
          <w:p w14:paraId="22397B1B" w14:textId="77777777" w:rsidR="00422A2A" w:rsidRPr="0030041C" w:rsidRDefault="00422A2A" w:rsidP="005A43AF">
            <w:pPr>
              <w:pStyle w:val="Point0number"/>
              <w:numPr>
                <w:ilvl w:val="1"/>
                <w:numId w:val="35"/>
              </w:numPr>
              <w:tabs>
                <w:tab w:val="left" w:pos="720"/>
              </w:tabs>
              <w:spacing w:before="0" w:after="0"/>
              <w:rPr>
                <w:b/>
                <w:bCs/>
                <w:szCs w:val="24"/>
                <w:lang w:val="en-US"/>
              </w:rPr>
            </w:pPr>
          </w:p>
        </w:tc>
        <w:tc>
          <w:tcPr>
            <w:tcW w:w="3890" w:type="dxa"/>
          </w:tcPr>
          <w:p w14:paraId="3BE1FA59" w14:textId="5DE12AF2" w:rsidR="00422A2A" w:rsidRPr="0030041C" w:rsidRDefault="00422A2A" w:rsidP="00422A2A">
            <w:pPr>
              <w:pStyle w:val="Point0number"/>
              <w:numPr>
                <w:ilvl w:val="0"/>
                <w:numId w:val="0"/>
              </w:numPr>
              <w:tabs>
                <w:tab w:val="left" w:pos="720"/>
              </w:tabs>
              <w:spacing w:before="0" w:after="0"/>
              <w:rPr>
                <w:szCs w:val="24"/>
                <w:lang w:val="en-US"/>
              </w:rPr>
            </w:pPr>
            <w:proofErr w:type="spellStart"/>
            <w:r w:rsidRPr="0030041C">
              <w:rPr>
                <w:b/>
                <w:bCs/>
                <w:szCs w:val="24"/>
                <w:lang w:val="en-US"/>
              </w:rPr>
              <w:t>aFRR</w:t>
            </w:r>
            <w:proofErr w:type="spellEnd"/>
            <w:r w:rsidRPr="0030041C">
              <w:rPr>
                <w:szCs w:val="24"/>
                <w:lang w:val="en-US"/>
              </w:rPr>
              <w:t xml:space="preserve"> - automatic frequency restoration reserves </w:t>
            </w:r>
          </w:p>
        </w:tc>
        <w:tc>
          <w:tcPr>
            <w:tcW w:w="3760" w:type="dxa"/>
          </w:tcPr>
          <w:p w14:paraId="674DF6C8" w14:textId="188B8B5D" w:rsidR="00422A2A" w:rsidRPr="0030041C" w:rsidRDefault="00422A2A" w:rsidP="005A43AF">
            <w:pPr>
              <w:jc w:val="both"/>
              <w:rPr>
                <w:rFonts w:ascii="Times New Roman" w:hAnsi="Times New Roman" w:cs="Times New Roman"/>
                <w:b/>
                <w:sz w:val="24"/>
                <w:szCs w:val="24"/>
              </w:rPr>
            </w:pPr>
            <w:proofErr w:type="spellStart"/>
            <w:r w:rsidRPr="0030041C">
              <w:rPr>
                <w:rFonts w:ascii="Times New Roman" w:hAnsi="Times New Roman" w:cs="Times New Roman"/>
                <w:b/>
                <w:sz w:val="24"/>
                <w:szCs w:val="24"/>
              </w:rPr>
              <w:t>aFRR</w:t>
            </w:r>
            <w:proofErr w:type="spellEnd"/>
            <w:r w:rsidRPr="0030041C">
              <w:rPr>
                <w:rFonts w:ascii="Times New Roman" w:hAnsi="Times New Roman" w:cs="Times New Roman"/>
                <w:b/>
                <w:sz w:val="24"/>
                <w:szCs w:val="24"/>
              </w:rPr>
              <w:t xml:space="preserve">- </w:t>
            </w:r>
            <w:r w:rsidRPr="0030041C">
              <w:rPr>
                <w:rFonts w:ascii="Times New Roman" w:hAnsi="Times New Roman" w:cs="Times New Roman"/>
                <w:sz w:val="24"/>
                <w:szCs w:val="24"/>
              </w:rPr>
              <w:t>frekvences atjaunošanas rezerves ar automātisku aktivizāciju</w:t>
            </w:r>
          </w:p>
        </w:tc>
      </w:tr>
      <w:tr w:rsidR="00F527BD" w14:paraId="0B6328A5" w14:textId="77777777" w:rsidTr="00F527BD">
        <w:tc>
          <w:tcPr>
            <w:tcW w:w="1276" w:type="dxa"/>
          </w:tcPr>
          <w:p w14:paraId="00F63281"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00DA8E22" w14:textId="12347196" w:rsidR="00422A2A" w:rsidRPr="0030041C" w:rsidRDefault="00422A2A" w:rsidP="00422A2A">
            <w:pPr>
              <w:pStyle w:val="Point0number"/>
              <w:numPr>
                <w:ilvl w:val="0"/>
                <w:numId w:val="0"/>
              </w:numPr>
              <w:tabs>
                <w:tab w:val="left" w:pos="720"/>
              </w:tabs>
              <w:spacing w:before="0" w:after="0"/>
              <w:rPr>
                <w:b/>
                <w:bCs/>
                <w:szCs w:val="24"/>
                <w:lang w:val="en-US"/>
              </w:rPr>
            </w:pPr>
            <w:proofErr w:type="spellStart"/>
            <w:r w:rsidRPr="00941DA8">
              <w:rPr>
                <w:b/>
                <w:bCs/>
                <w:szCs w:val="24"/>
                <w:lang w:val="en-US"/>
              </w:rPr>
              <w:t>mFRR</w:t>
            </w:r>
            <w:proofErr w:type="spellEnd"/>
            <w:r w:rsidRPr="00941DA8">
              <w:rPr>
                <w:b/>
                <w:bCs/>
                <w:szCs w:val="24"/>
                <w:lang w:val="en-US"/>
              </w:rPr>
              <w:t xml:space="preserve"> standard product</w:t>
            </w:r>
            <w:r w:rsidRPr="0030041C">
              <w:rPr>
                <w:b/>
                <w:bCs/>
                <w:szCs w:val="24"/>
                <w:lang w:val="en-US"/>
              </w:rPr>
              <w:t xml:space="preserve"> – </w:t>
            </w:r>
            <w:r w:rsidRPr="00946CD0">
              <w:rPr>
                <w:szCs w:val="24"/>
                <w:lang w:val="en-US"/>
              </w:rPr>
              <w:t>balancing product defined in ancillary service agreement</w:t>
            </w:r>
          </w:p>
        </w:tc>
        <w:tc>
          <w:tcPr>
            <w:tcW w:w="3760" w:type="dxa"/>
          </w:tcPr>
          <w:p w14:paraId="5B8B55B0" w14:textId="549B4173" w:rsidR="00422A2A" w:rsidRPr="0030041C" w:rsidRDefault="00422A2A" w:rsidP="005A43AF">
            <w:pPr>
              <w:jc w:val="both"/>
              <w:rPr>
                <w:rFonts w:ascii="Times New Roman" w:hAnsi="Times New Roman" w:cs="Times New Roman"/>
                <w:b/>
                <w:sz w:val="24"/>
                <w:szCs w:val="24"/>
              </w:rPr>
            </w:pPr>
            <w:proofErr w:type="spellStart"/>
            <w:r w:rsidRPr="0030041C">
              <w:rPr>
                <w:rFonts w:ascii="Times New Roman" w:hAnsi="Times New Roman" w:cs="Times New Roman"/>
                <w:b/>
                <w:sz w:val="24"/>
                <w:szCs w:val="24"/>
              </w:rPr>
              <w:t>mFRR</w:t>
            </w:r>
            <w:proofErr w:type="spellEnd"/>
            <w:r w:rsidRPr="0030041C">
              <w:rPr>
                <w:rFonts w:ascii="Times New Roman" w:hAnsi="Times New Roman" w:cs="Times New Roman"/>
                <w:b/>
                <w:sz w:val="24"/>
                <w:szCs w:val="24"/>
              </w:rPr>
              <w:t xml:space="preserve"> standarta produkts – </w:t>
            </w:r>
            <w:proofErr w:type="spellStart"/>
            <w:r w:rsidRPr="0030041C">
              <w:rPr>
                <w:rFonts w:ascii="Times New Roman" w:hAnsi="Times New Roman" w:cs="Times New Roman"/>
                <w:sz w:val="24"/>
                <w:szCs w:val="24"/>
              </w:rPr>
              <w:t>palīgapakalpojuma</w:t>
            </w:r>
            <w:proofErr w:type="spellEnd"/>
            <w:r w:rsidRPr="0030041C">
              <w:rPr>
                <w:rFonts w:ascii="Times New Roman" w:hAnsi="Times New Roman" w:cs="Times New Roman"/>
                <w:sz w:val="24"/>
                <w:szCs w:val="24"/>
              </w:rPr>
              <w:t xml:space="preserve"> līgumā definētais regulēšanas produkts</w:t>
            </w:r>
          </w:p>
        </w:tc>
      </w:tr>
      <w:tr w:rsidR="00F527BD" w14:paraId="697FAA95" w14:textId="77777777" w:rsidTr="00F527BD">
        <w:tc>
          <w:tcPr>
            <w:tcW w:w="1276" w:type="dxa"/>
          </w:tcPr>
          <w:p w14:paraId="0AA533F4" w14:textId="77777777" w:rsidR="00422A2A" w:rsidRDefault="00422A2A" w:rsidP="005A43AF">
            <w:pPr>
              <w:pStyle w:val="Point0number"/>
              <w:numPr>
                <w:ilvl w:val="1"/>
                <w:numId w:val="35"/>
              </w:numPr>
              <w:tabs>
                <w:tab w:val="left" w:pos="720"/>
              </w:tabs>
              <w:spacing w:before="0" w:after="0"/>
              <w:rPr>
                <w:b/>
                <w:bCs/>
                <w:szCs w:val="24"/>
                <w:lang w:val="en-US"/>
              </w:rPr>
            </w:pPr>
          </w:p>
        </w:tc>
        <w:tc>
          <w:tcPr>
            <w:tcW w:w="3890" w:type="dxa"/>
          </w:tcPr>
          <w:p w14:paraId="0188BB40" w14:textId="7FFC3C60" w:rsidR="00422A2A" w:rsidRPr="0030041C" w:rsidRDefault="00422A2A" w:rsidP="00422A2A">
            <w:pPr>
              <w:pStyle w:val="Point0number"/>
              <w:numPr>
                <w:ilvl w:val="0"/>
                <w:numId w:val="0"/>
              </w:numPr>
              <w:tabs>
                <w:tab w:val="left" w:pos="720"/>
              </w:tabs>
              <w:spacing w:before="0" w:after="0"/>
              <w:rPr>
                <w:b/>
                <w:bCs/>
                <w:szCs w:val="24"/>
                <w:lang w:val="en-US"/>
              </w:rPr>
            </w:pPr>
            <w:proofErr w:type="spellStart"/>
            <w:r>
              <w:rPr>
                <w:b/>
                <w:bCs/>
                <w:szCs w:val="24"/>
                <w:lang w:val="en-US"/>
              </w:rPr>
              <w:t>a</w:t>
            </w:r>
            <w:r w:rsidRPr="00941DA8">
              <w:rPr>
                <w:b/>
                <w:bCs/>
                <w:szCs w:val="24"/>
                <w:lang w:val="en-US"/>
              </w:rPr>
              <w:t>FRR</w:t>
            </w:r>
            <w:proofErr w:type="spellEnd"/>
            <w:r w:rsidRPr="00941DA8">
              <w:rPr>
                <w:b/>
                <w:bCs/>
                <w:szCs w:val="24"/>
                <w:lang w:val="en-US"/>
              </w:rPr>
              <w:t xml:space="preserve"> standard product</w:t>
            </w:r>
            <w:r w:rsidRPr="0030041C">
              <w:rPr>
                <w:b/>
                <w:bCs/>
                <w:szCs w:val="24"/>
                <w:lang w:val="en-US"/>
              </w:rPr>
              <w:t xml:space="preserve"> – </w:t>
            </w:r>
            <w:r w:rsidRPr="00946CD0">
              <w:rPr>
                <w:szCs w:val="24"/>
                <w:lang w:val="en-US"/>
              </w:rPr>
              <w:t>balancing product defined in ancillary service agreement</w:t>
            </w:r>
          </w:p>
        </w:tc>
        <w:tc>
          <w:tcPr>
            <w:tcW w:w="3760" w:type="dxa"/>
          </w:tcPr>
          <w:p w14:paraId="758424AB" w14:textId="7DC4B25A"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b/>
                <w:bCs/>
                <w:sz w:val="24"/>
                <w:szCs w:val="24"/>
              </w:rPr>
              <w:t>aFRR</w:t>
            </w:r>
            <w:proofErr w:type="spellEnd"/>
            <w:r w:rsidRPr="0030041C">
              <w:rPr>
                <w:rFonts w:ascii="Times New Roman" w:hAnsi="Times New Roman" w:cs="Times New Roman"/>
                <w:b/>
                <w:bCs/>
                <w:sz w:val="24"/>
                <w:szCs w:val="24"/>
              </w:rPr>
              <w:t xml:space="preserve"> standarta produkts- </w:t>
            </w:r>
            <w:proofErr w:type="spellStart"/>
            <w:r w:rsidRPr="0030041C">
              <w:rPr>
                <w:rFonts w:ascii="Times New Roman" w:hAnsi="Times New Roman" w:cs="Times New Roman"/>
                <w:sz w:val="24"/>
                <w:szCs w:val="24"/>
              </w:rPr>
              <w:t>palīgpakalpojuma</w:t>
            </w:r>
            <w:proofErr w:type="spellEnd"/>
            <w:r w:rsidRPr="0030041C">
              <w:rPr>
                <w:rFonts w:ascii="Times New Roman" w:hAnsi="Times New Roman" w:cs="Times New Roman"/>
                <w:sz w:val="24"/>
                <w:szCs w:val="24"/>
              </w:rPr>
              <w:t xml:space="preserve"> līgumā definētais regulēšanas produkts</w:t>
            </w:r>
          </w:p>
        </w:tc>
      </w:tr>
      <w:tr w:rsidR="00F527BD" w14:paraId="62D276D6" w14:textId="77777777" w:rsidTr="00F527BD">
        <w:tc>
          <w:tcPr>
            <w:tcW w:w="1276" w:type="dxa"/>
          </w:tcPr>
          <w:p w14:paraId="2ACFD68E" w14:textId="77777777" w:rsidR="00422A2A" w:rsidRPr="0030041C" w:rsidRDefault="00422A2A" w:rsidP="005A43AF">
            <w:pPr>
              <w:pStyle w:val="Point0number"/>
              <w:numPr>
                <w:ilvl w:val="1"/>
                <w:numId w:val="35"/>
              </w:numPr>
              <w:tabs>
                <w:tab w:val="left" w:pos="720"/>
              </w:tabs>
              <w:spacing w:before="0" w:after="0"/>
              <w:rPr>
                <w:b/>
                <w:bCs/>
                <w:szCs w:val="24"/>
                <w:lang w:val="en-US"/>
              </w:rPr>
            </w:pPr>
          </w:p>
        </w:tc>
        <w:tc>
          <w:tcPr>
            <w:tcW w:w="3890" w:type="dxa"/>
          </w:tcPr>
          <w:p w14:paraId="5BC4CF0B" w14:textId="7EC6C711" w:rsidR="00422A2A" w:rsidRPr="0030041C" w:rsidRDefault="00422A2A" w:rsidP="00422A2A">
            <w:pPr>
              <w:pStyle w:val="Point0number"/>
              <w:numPr>
                <w:ilvl w:val="0"/>
                <w:numId w:val="0"/>
              </w:numPr>
              <w:tabs>
                <w:tab w:val="left" w:pos="720"/>
              </w:tabs>
              <w:spacing w:before="0" w:after="0"/>
              <w:rPr>
                <w:b/>
                <w:bCs/>
                <w:szCs w:val="24"/>
                <w:lang w:val="en-US"/>
              </w:rPr>
            </w:pPr>
            <w:r w:rsidRPr="0030041C">
              <w:rPr>
                <w:b/>
                <w:bCs/>
                <w:szCs w:val="24"/>
                <w:lang w:val="en-US"/>
              </w:rPr>
              <w:t xml:space="preserve">LFC – </w:t>
            </w:r>
            <w:r w:rsidRPr="00946CD0">
              <w:rPr>
                <w:szCs w:val="24"/>
                <w:lang w:val="en-US"/>
              </w:rPr>
              <w:t>load and frequency control</w:t>
            </w:r>
          </w:p>
        </w:tc>
        <w:tc>
          <w:tcPr>
            <w:tcW w:w="3760" w:type="dxa"/>
          </w:tcPr>
          <w:p w14:paraId="2847BAB5" w14:textId="035DEFD8" w:rsidR="00422A2A" w:rsidRPr="0030041C" w:rsidRDefault="00422A2A" w:rsidP="005A43AF">
            <w:pPr>
              <w:jc w:val="both"/>
              <w:rPr>
                <w:rFonts w:ascii="Times New Roman" w:hAnsi="Times New Roman" w:cs="Times New Roman"/>
                <w:b/>
                <w:bCs/>
                <w:sz w:val="24"/>
                <w:szCs w:val="24"/>
              </w:rPr>
            </w:pPr>
            <w:r w:rsidRPr="0030041C">
              <w:rPr>
                <w:rFonts w:ascii="Times New Roman" w:hAnsi="Times New Roman" w:cs="Times New Roman"/>
                <w:b/>
                <w:bCs/>
                <w:sz w:val="24"/>
                <w:szCs w:val="24"/>
              </w:rPr>
              <w:t xml:space="preserve">LFC- </w:t>
            </w:r>
            <w:r w:rsidRPr="0030041C">
              <w:rPr>
                <w:rFonts w:ascii="Times New Roman" w:hAnsi="Times New Roman" w:cs="Times New Roman"/>
                <w:sz w:val="24"/>
                <w:szCs w:val="24"/>
              </w:rPr>
              <w:t>Slodzes un frekvences kontrole</w:t>
            </w:r>
            <w:r w:rsidRPr="0030041C">
              <w:rPr>
                <w:rFonts w:ascii="Times New Roman" w:hAnsi="Times New Roman" w:cs="Times New Roman"/>
                <w:b/>
                <w:bCs/>
                <w:sz w:val="24"/>
                <w:szCs w:val="24"/>
              </w:rPr>
              <w:t xml:space="preserve">  </w:t>
            </w:r>
          </w:p>
        </w:tc>
      </w:tr>
      <w:tr w:rsidR="00F527BD" w14:paraId="32457166" w14:textId="77777777" w:rsidTr="00F527BD">
        <w:tc>
          <w:tcPr>
            <w:tcW w:w="1276" w:type="dxa"/>
          </w:tcPr>
          <w:p w14:paraId="3E5FB83D"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6E797F07" w14:textId="0266D756"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TSO – </w:t>
            </w:r>
            <w:r w:rsidRPr="00946CD0">
              <w:rPr>
                <w:szCs w:val="24"/>
                <w:lang w:val="en-US"/>
              </w:rPr>
              <w:t>transmission system operator</w:t>
            </w:r>
          </w:p>
        </w:tc>
        <w:tc>
          <w:tcPr>
            <w:tcW w:w="3760" w:type="dxa"/>
          </w:tcPr>
          <w:p w14:paraId="460B1585" w14:textId="02A2791E" w:rsidR="00422A2A" w:rsidRPr="0030041C" w:rsidRDefault="00422A2A" w:rsidP="005A43AF">
            <w:pPr>
              <w:jc w:val="both"/>
              <w:rPr>
                <w:rFonts w:ascii="Times New Roman" w:hAnsi="Times New Roman" w:cs="Times New Roman"/>
                <w:b/>
                <w:bCs/>
                <w:sz w:val="24"/>
                <w:szCs w:val="24"/>
              </w:rPr>
            </w:pPr>
            <w:r w:rsidRPr="0030041C">
              <w:rPr>
                <w:rFonts w:ascii="Times New Roman" w:hAnsi="Times New Roman" w:cs="Times New Roman"/>
                <w:b/>
                <w:bCs/>
                <w:sz w:val="24"/>
                <w:szCs w:val="24"/>
              </w:rPr>
              <w:t xml:space="preserve">PSO – </w:t>
            </w:r>
            <w:r w:rsidRPr="0030041C">
              <w:rPr>
                <w:rFonts w:ascii="Times New Roman" w:hAnsi="Times New Roman" w:cs="Times New Roman"/>
                <w:sz w:val="24"/>
                <w:szCs w:val="24"/>
              </w:rPr>
              <w:t>pārvades sistēmas operators</w:t>
            </w:r>
          </w:p>
        </w:tc>
      </w:tr>
      <w:tr w:rsidR="00F527BD" w14:paraId="2C31FA79" w14:textId="77777777" w:rsidTr="00F527BD">
        <w:tc>
          <w:tcPr>
            <w:tcW w:w="1276" w:type="dxa"/>
          </w:tcPr>
          <w:p w14:paraId="1F6201D6"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0067C357" w14:textId="792BC643"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EB GL – </w:t>
            </w:r>
            <w:r w:rsidRPr="00946CD0">
              <w:rPr>
                <w:szCs w:val="24"/>
                <w:lang w:val="en-US"/>
              </w:rPr>
              <w:t>Commission Regulation (EU) 2017/2195 of 23 November 2017 establishing a guideline on electricity balancing</w:t>
            </w:r>
          </w:p>
        </w:tc>
        <w:tc>
          <w:tcPr>
            <w:tcW w:w="3760" w:type="dxa"/>
          </w:tcPr>
          <w:p w14:paraId="27BD8206" w14:textId="6B283E4B" w:rsidR="00422A2A" w:rsidRPr="0030041C" w:rsidRDefault="00422A2A" w:rsidP="005A43AF">
            <w:pPr>
              <w:jc w:val="both"/>
              <w:rPr>
                <w:rFonts w:ascii="Times New Roman" w:hAnsi="Times New Roman" w:cs="Times New Roman"/>
                <w:b/>
                <w:bCs/>
                <w:sz w:val="24"/>
                <w:szCs w:val="24"/>
              </w:rPr>
            </w:pPr>
            <w:r w:rsidRPr="0030041C">
              <w:rPr>
                <w:rFonts w:ascii="Times New Roman" w:hAnsi="Times New Roman" w:cs="Times New Roman"/>
                <w:b/>
                <w:bCs/>
                <w:sz w:val="24"/>
                <w:szCs w:val="24"/>
              </w:rPr>
              <w:t xml:space="preserve">EB GL – </w:t>
            </w:r>
            <w:r w:rsidRPr="0030041C">
              <w:rPr>
                <w:rFonts w:ascii="Times New Roman" w:hAnsi="Times New Roman" w:cs="Times New Roman"/>
                <w:sz w:val="24"/>
                <w:szCs w:val="24"/>
              </w:rPr>
              <w:t xml:space="preserve">Komisijas 2017. gada 23.novembra Regula (EU) </w:t>
            </w:r>
            <w:r w:rsidRPr="0030041C">
              <w:rPr>
                <w:rFonts w:ascii="Times New Roman" w:hAnsi="Times New Roman" w:cs="Times New Roman"/>
                <w:sz w:val="24"/>
                <w:szCs w:val="24"/>
                <w:lang w:val="en-US"/>
              </w:rPr>
              <w:t xml:space="preserve">2017/2195 </w:t>
            </w:r>
            <w:proofErr w:type="spellStart"/>
            <w:r w:rsidRPr="0030041C">
              <w:rPr>
                <w:rFonts w:ascii="Times New Roman" w:hAnsi="Times New Roman" w:cs="Times New Roman"/>
                <w:sz w:val="24"/>
                <w:szCs w:val="24"/>
                <w:lang w:val="en-US"/>
              </w:rPr>
              <w:t>ar</w:t>
            </w:r>
            <w:proofErr w:type="spellEnd"/>
            <w:r w:rsidRPr="0030041C">
              <w:rPr>
                <w:rFonts w:ascii="Times New Roman" w:hAnsi="Times New Roman" w:cs="Times New Roman"/>
                <w:sz w:val="24"/>
                <w:szCs w:val="24"/>
                <w:lang w:val="en-US"/>
              </w:rPr>
              <w:t xml:space="preserve"> ko </w:t>
            </w:r>
            <w:proofErr w:type="spellStart"/>
            <w:r w:rsidRPr="0030041C">
              <w:rPr>
                <w:rFonts w:ascii="Times New Roman" w:hAnsi="Times New Roman" w:cs="Times New Roman"/>
                <w:sz w:val="24"/>
                <w:szCs w:val="24"/>
                <w:lang w:val="en-US"/>
              </w:rPr>
              <w:t>izveido</w:t>
            </w:r>
            <w:proofErr w:type="spellEnd"/>
            <w:r w:rsidRPr="0030041C">
              <w:rPr>
                <w:rFonts w:ascii="Times New Roman" w:hAnsi="Times New Roman" w:cs="Times New Roman"/>
                <w:sz w:val="24"/>
                <w:szCs w:val="24"/>
                <w:lang w:val="en-US"/>
              </w:rPr>
              <w:t xml:space="preserve"> </w:t>
            </w:r>
            <w:proofErr w:type="spellStart"/>
            <w:r w:rsidRPr="0030041C">
              <w:rPr>
                <w:rFonts w:ascii="Times New Roman" w:hAnsi="Times New Roman" w:cs="Times New Roman"/>
                <w:sz w:val="24"/>
                <w:szCs w:val="24"/>
                <w:lang w:val="en-US"/>
              </w:rPr>
              <w:t>elektroenerģijas</w:t>
            </w:r>
            <w:proofErr w:type="spellEnd"/>
            <w:r w:rsidRPr="0030041C">
              <w:rPr>
                <w:rFonts w:ascii="Times New Roman" w:hAnsi="Times New Roman" w:cs="Times New Roman"/>
                <w:sz w:val="24"/>
                <w:szCs w:val="24"/>
                <w:lang w:val="en-US"/>
              </w:rPr>
              <w:t xml:space="preserve"> </w:t>
            </w:r>
            <w:proofErr w:type="spellStart"/>
            <w:r w:rsidRPr="0030041C">
              <w:rPr>
                <w:rFonts w:ascii="Times New Roman" w:hAnsi="Times New Roman" w:cs="Times New Roman"/>
                <w:sz w:val="24"/>
                <w:szCs w:val="24"/>
                <w:lang w:val="en-US"/>
              </w:rPr>
              <w:t>balansēšanas</w:t>
            </w:r>
            <w:proofErr w:type="spellEnd"/>
            <w:r w:rsidRPr="0030041C">
              <w:rPr>
                <w:rFonts w:ascii="Times New Roman" w:hAnsi="Times New Roman" w:cs="Times New Roman"/>
                <w:sz w:val="24"/>
                <w:szCs w:val="24"/>
                <w:lang w:val="en-US"/>
              </w:rPr>
              <w:t xml:space="preserve"> </w:t>
            </w:r>
            <w:proofErr w:type="spellStart"/>
            <w:r w:rsidRPr="0030041C">
              <w:rPr>
                <w:rFonts w:ascii="Times New Roman" w:hAnsi="Times New Roman" w:cs="Times New Roman"/>
                <w:sz w:val="24"/>
                <w:szCs w:val="24"/>
                <w:lang w:val="en-US"/>
              </w:rPr>
              <w:t>vadlīnijas</w:t>
            </w:r>
            <w:proofErr w:type="spellEnd"/>
          </w:p>
        </w:tc>
      </w:tr>
      <w:tr w:rsidR="00F527BD" w14:paraId="5B7956D4" w14:textId="77777777" w:rsidTr="00F527BD">
        <w:tc>
          <w:tcPr>
            <w:tcW w:w="1276" w:type="dxa"/>
          </w:tcPr>
          <w:p w14:paraId="5F127B52"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263B9FAC" w14:textId="0DED2E36" w:rsidR="00422A2A" w:rsidRPr="00941DA8" w:rsidRDefault="00422A2A" w:rsidP="00422A2A">
            <w:pPr>
              <w:pStyle w:val="Point0number"/>
              <w:numPr>
                <w:ilvl w:val="0"/>
                <w:numId w:val="0"/>
              </w:numPr>
              <w:tabs>
                <w:tab w:val="left" w:pos="720"/>
              </w:tabs>
              <w:spacing w:before="0" w:after="0"/>
              <w:rPr>
                <w:b/>
                <w:bCs/>
                <w:szCs w:val="24"/>
                <w:lang w:val="en-US"/>
              </w:rPr>
            </w:pPr>
            <w:proofErr w:type="spellStart"/>
            <w:r w:rsidRPr="00941DA8">
              <w:rPr>
                <w:b/>
                <w:bCs/>
                <w:szCs w:val="24"/>
                <w:lang w:val="en-US"/>
              </w:rPr>
              <w:t>mFRR</w:t>
            </w:r>
            <w:proofErr w:type="spellEnd"/>
            <w:r w:rsidRPr="00941DA8">
              <w:rPr>
                <w:b/>
                <w:bCs/>
                <w:szCs w:val="24"/>
                <w:lang w:val="en-US"/>
              </w:rPr>
              <w:t xml:space="preserve"> IF </w:t>
            </w:r>
            <w:r w:rsidRPr="0030041C">
              <w:rPr>
                <w:b/>
                <w:bCs/>
                <w:szCs w:val="24"/>
                <w:lang w:val="en-US"/>
              </w:rPr>
              <w:t xml:space="preserve">- </w:t>
            </w:r>
            <w:r w:rsidRPr="00946CD0">
              <w:rPr>
                <w:szCs w:val="24"/>
                <w:lang w:val="en-US"/>
              </w:rPr>
              <w:t>implementation framework for the European platform for the exchange of balancing energy from frequency restoration reserves with manual activation in accordance with Article 20 of EB GL</w:t>
            </w:r>
          </w:p>
        </w:tc>
        <w:tc>
          <w:tcPr>
            <w:tcW w:w="3760" w:type="dxa"/>
          </w:tcPr>
          <w:p w14:paraId="586951F0" w14:textId="6A4F56A9" w:rsidR="00422A2A" w:rsidRPr="0030041C" w:rsidRDefault="00422A2A" w:rsidP="005A43AF">
            <w:pPr>
              <w:jc w:val="both"/>
              <w:rPr>
                <w:rFonts w:ascii="Times New Roman" w:hAnsi="Times New Roman" w:cs="Times New Roman"/>
                <w:b/>
                <w:bCs/>
                <w:sz w:val="24"/>
                <w:szCs w:val="24"/>
              </w:rPr>
            </w:pPr>
            <w:proofErr w:type="spellStart"/>
            <w:r w:rsidRPr="0030041C">
              <w:rPr>
                <w:rFonts w:ascii="Times New Roman" w:hAnsi="Times New Roman" w:cs="Times New Roman"/>
                <w:b/>
                <w:bCs/>
                <w:sz w:val="24"/>
                <w:szCs w:val="24"/>
              </w:rPr>
              <w:t>mFRR</w:t>
            </w:r>
            <w:proofErr w:type="spellEnd"/>
            <w:r w:rsidRPr="0030041C">
              <w:rPr>
                <w:rFonts w:ascii="Times New Roman" w:hAnsi="Times New Roman" w:cs="Times New Roman"/>
                <w:b/>
                <w:bCs/>
                <w:sz w:val="24"/>
                <w:szCs w:val="24"/>
              </w:rPr>
              <w:t xml:space="preserve"> IF – </w:t>
            </w:r>
            <w:r w:rsidRPr="0030041C">
              <w:rPr>
                <w:rFonts w:ascii="Times New Roman" w:hAnsi="Times New Roman" w:cs="Times New Roman"/>
                <w:sz w:val="24"/>
                <w:szCs w:val="24"/>
              </w:rPr>
              <w:t>īstenošanas satvars attiecībā uz Eiropas platformu apmaiņai ar balansēšanas enerģiju no frekvences atjaunošanas rezervēm ar manuālu aktivizāciju, kas izstrādāts saskaņā ar EB GL 20. pantu.</w:t>
            </w:r>
          </w:p>
        </w:tc>
      </w:tr>
      <w:tr w:rsidR="00F527BD" w14:paraId="56003581" w14:textId="77777777" w:rsidTr="00F527BD">
        <w:tc>
          <w:tcPr>
            <w:tcW w:w="1276" w:type="dxa"/>
          </w:tcPr>
          <w:p w14:paraId="4264C723" w14:textId="77777777" w:rsidR="00422A2A" w:rsidRDefault="00422A2A" w:rsidP="005A43AF">
            <w:pPr>
              <w:pStyle w:val="Point0number"/>
              <w:numPr>
                <w:ilvl w:val="1"/>
                <w:numId w:val="35"/>
              </w:numPr>
              <w:tabs>
                <w:tab w:val="left" w:pos="720"/>
              </w:tabs>
              <w:spacing w:before="0" w:after="0"/>
              <w:rPr>
                <w:b/>
                <w:bCs/>
                <w:szCs w:val="24"/>
                <w:lang w:val="en-US"/>
              </w:rPr>
            </w:pPr>
          </w:p>
        </w:tc>
        <w:tc>
          <w:tcPr>
            <w:tcW w:w="3890" w:type="dxa"/>
          </w:tcPr>
          <w:p w14:paraId="24D372C5" w14:textId="6311F159" w:rsidR="00422A2A" w:rsidRPr="00946CD0" w:rsidRDefault="00422A2A" w:rsidP="00422A2A">
            <w:pPr>
              <w:pStyle w:val="Point0number"/>
              <w:numPr>
                <w:ilvl w:val="0"/>
                <w:numId w:val="0"/>
              </w:numPr>
              <w:tabs>
                <w:tab w:val="left" w:pos="720"/>
              </w:tabs>
              <w:spacing w:before="0" w:after="0"/>
              <w:rPr>
                <w:b/>
                <w:bCs/>
                <w:szCs w:val="24"/>
                <w:lang w:val="en-US"/>
              </w:rPr>
            </w:pPr>
            <w:proofErr w:type="spellStart"/>
            <w:r>
              <w:rPr>
                <w:b/>
                <w:bCs/>
                <w:szCs w:val="24"/>
                <w:lang w:val="en-US"/>
              </w:rPr>
              <w:t>a</w:t>
            </w:r>
            <w:r w:rsidRPr="00941DA8">
              <w:rPr>
                <w:b/>
                <w:bCs/>
                <w:szCs w:val="24"/>
                <w:lang w:val="en-US"/>
              </w:rPr>
              <w:t>FRR</w:t>
            </w:r>
            <w:proofErr w:type="spellEnd"/>
            <w:r w:rsidRPr="00941DA8">
              <w:rPr>
                <w:b/>
                <w:bCs/>
                <w:szCs w:val="24"/>
                <w:lang w:val="en-US"/>
              </w:rPr>
              <w:t xml:space="preserve"> IF </w:t>
            </w:r>
            <w:r w:rsidRPr="0030041C">
              <w:rPr>
                <w:b/>
                <w:bCs/>
                <w:szCs w:val="24"/>
                <w:lang w:val="en-US"/>
              </w:rPr>
              <w:t xml:space="preserve">- </w:t>
            </w:r>
            <w:r w:rsidRPr="00946CD0">
              <w:rPr>
                <w:szCs w:val="24"/>
                <w:lang w:val="en-US"/>
              </w:rPr>
              <w:t>implementation framework for the European platform for the exchange of balancing energy from frequency restoration reserves with automatic activation in accordance with Article 21 of EB GL</w:t>
            </w:r>
          </w:p>
        </w:tc>
        <w:tc>
          <w:tcPr>
            <w:tcW w:w="3760" w:type="dxa"/>
          </w:tcPr>
          <w:p w14:paraId="5EE6C429" w14:textId="62E33B7E" w:rsidR="00422A2A" w:rsidRPr="0030041C" w:rsidRDefault="00422A2A" w:rsidP="005A43AF">
            <w:pPr>
              <w:jc w:val="both"/>
              <w:rPr>
                <w:rFonts w:ascii="Times New Roman" w:hAnsi="Times New Roman" w:cs="Times New Roman"/>
                <w:b/>
                <w:bCs/>
                <w:sz w:val="24"/>
                <w:szCs w:val="24"/>
              </w:rPr>
            </w:pPr>
            <w:proofErr w:type="spellStart"/>
            <w:r w:rsidRPr="0030041C">
              <w:rPr>
                <w:rFonts w:ascii="Times New Roman" w:hAnsi="Times New Roman" w:cs="Times New Roman"/>
                <w:b/>
                <w:bCs/>
                <w:sz w:val="24"/>
                <w:szCs w:val="24"/>
              </w:rPr>
              <w:t>aFRR</w:t>
            </w:r>
            <w:proofErr w:type="spellEnd"/>
            <w:r w:rsidRPr="0030041C">
              <w:rPr>
                <w:rFonts w:ascii="Times New Roman" w:hAnsi="Times New Roman" w:cs="Times New Roman"/>
                <w:b/>
                <w:bCs/>
                <w:sz w:val="24"/>
                <w:szCs w:val="24"/>
              </w:rPr>
              <w:t xml:space="preserve"> IF- </w:t>
            </w:r>
            <w:r w:rsidRPr="0030041C">
              <w:rPr>
                <w:rFonts w:ascii="Times New Roman" w:hAnsi="Times New Roman" w:cs="Times New Roman"/>
                <w:sz w:val="24"/>
                <w:szCs w:val="24"/>
              </w:rPr>
              <w:t>īstenošanas satvars attiecībā uz Eiropas platformu apmaiņai ar balansēšanas enerģiju no frekvences atjaunošanas rezervēm ar automātisku aktivizāciju, kas izstrādāts saskaņā ar EB GL 21. pantu.</w:t>
            </w:r>
          </w:p>
        </w:tc>
      </w:tr>
      <w:tr w:rsidR="00F527BD" w14:paraId="686B9702" w14:textId="77777777" w:rsidTr="00F527BD">
        <w:tc>
          <w:tcPr>
            <w:tcW w:w="1276" w:type="dxa"/>
          </w:tcPr>
          <w:p w14:paraId="20FF93E2"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29E6E0E3" w14:textId="2F386175"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MARI platform - </w:t>
            </w:r>
            <w:r w:rsidRPr="00946CD0">
              <w:rPr>
                <w:szCs w:val="24"/>
                <w:lang w:val="en-US"/>
              </w:rPr>
              <w:t>European platform for the exchange of balancing energy from frequency restoration reserves with manual activation</w:t>
            </w:r>
          </w:p>
        </w:tc>
        <w:tc>
          <w:tcPr>
            <w:tcW w:w="3760" w:type="dxa"/>
          </w:tcPr>
          <w:p w14:paraId="194E359D" w14:textId="460F844A"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b/>
                <w:bCs/>
                <w:sz w:val="24"/>
                <w:szCs w:val="24"/>
              </w:rPr>
              <w:t>MARI platforma</w:t>
            </w:r>
            <w:r w:rsidRPr="0030041C">
              <w:rPr>
                <w:rFonts w:ascii="Times New Roman" w:hAnsi="Times New Roman" w:cs="Times New Roman"/>
                <w:sz w:val="24"/>
                <w:szCs w:val="24"/>
              </w:rPr>
              <w:t xml:space="preserve"> – Eiropas platforma regulēšanas enerģijas apmaiņai no frekvences atjaunošanas rezervēm ar manuālu aktivizāciju</w:t>
            </w:r>
          </w:p>
        </w:tc>
      </w:tr>
      <w:tr w:rsidR="00F527BD" w14:paraId="7CE319F1" w14:textId="77777777" w:rsidTr="00F527BD">
        <w:tc>
          <w:tcPr>
            <w:tcW w:w="1276" w:type="dxa"/>
          </w:tcPr>
          <w:p w14:paraId="29BF57B3" w14:textId="77777777" w:rsidR="00422A2A" w:rsidRDefault="00422A2A" w:rsidP="005A43AF">
            <w:pPr>
              <w:pStyle w:val="Point0number"/>
              <w:numPr>
                <w:ilvl w:val="1"/>
                <w:numId w:val="35"/>
              </w:numPr>
              <w:tabs>
                <w:tab w:val="left" w:pos="720"/>
              </w:tabs>
              <w:spacing w:before="0" w:after="0"/>
              <w:rPr>
                <w:b/>
                <w:bCs/>
                <w:szCs w:val="24"/>
                <w:lang w:val="en-US"/>
              </w:rPr>
            </w:pPr>
          </w:p>
        </w:tc>
        <w:tc>
          <w:tcPr>
            <w:tcW w:w="3890" w:type="dxa"/>
          </w:tcPr>
          <w:p w14:paraId="5CA4BE70" w14:textId="07D8F86E" w:rsidR="00422A2A" w:rsidRPr="00941DA8" w:rsidRDefault="00422A2A" w:rsidP="00422A2A">
            <w:pPr>
              <w:pStyle w:val="Point0number"/>
              <w:numPr>
                <w:ilvl w:val="0"/>
                <w:numId w:val="0"/>
              </w:numPr>
              <w:tabs>
                <w:tab w:val="left" w:pos="720"/>
              </w:tabs>
              <w:spacing w:before="0" w:after="0"/>
              <w:rPr>
                <w:b/>
                <w:bCs/>
                <w:szCs w:val="24"/>
                <w:lang w:val="en-US"/>
              </w:rPr>
            </w:pPr>
            <w:r>
              <w:rPr>
                <w:b/>
                <w:bCs/>
                <w:szCs w:val="24"/>
                <w:lang w:val="en-US"/>
              </w:rPr>
              <w:t>PICASSO</w:t>
            </w:r>
            <w:r w:rsidRPr="00941DA8">
              <w:rPr>
                <w:b/>
                <w:bCs/>
                <w:szCs w:val="24"/>
                <w:lang w:val="en-US"/>
              </w:rPr>
              <w:t xml:space="preserve"> platform - </w:t>
            </w:r>
            <w:r w:rsidRPr="00946CD0">
              <w:rPr>
                <w:szCs w:val="24"/>
                <w:lang w:val="en-US"/>
              </w:rPr>
              <w:t>European platform for the exchange of balancing energy from frequency restoration reserves with automatic activation</w:t>
            </w:r>
          </w:p>
        </w:tc>
        <w:tc>
          <w:tcPr>
            <w:tcW w:w="3760" w:type="dxa"/>
          </w:tcPr>
          <w:p w14:paraId="372AB80A" w14:textId="51483810" w:rsidR="00422A2A" w:rsidRPr="0030041C" w:rsidRDefault="00422A2A" w:rsidP="005A43AF">
            <w:pPr>
              <w:jc w:val="both"/>
              <w:rPr>
                <w:rFonts w:ascii="Times New Roman" w:hAnsi="Times New Roman" w:cs="Times New Roman"/>
                <w:b/>
                <w:bCs/>
                <w:sz w:val="24"/>
                <w:szCs w:val="24"/>
              </w:rPr>
            </w:pPr>
            <w:r w:rsidRPr="0030041C">
              <w:rPr>
                <w:rFonts w:ascii="Times New Roman" w:hAnsi="Times New Roman" w:cs="Times New Roman"/>
                <w:b/>
                <w:bCs/>
                <w:sz w:val="24"/>
                <w:szCs w:val="24"/>
              </w:rPr>
              <w:t xml:space="preserve">PICASSO platforma- </w:t>
            </w:r>
            <w:r w:rsidRPr="0030041C">
              <w:rPr>
                <w:rFonts w:ascii="Times New Roman" w:hAnsi="Times New Roman" w:cs="Times New Roman"/>
                <w:sz w:val="24"/>
                <w:szCs w:val="24"/>
              </w:rPr>
              <w:t>Eiropas platforma regulēšanas enerģijas apmaiņai no frekvences atjaunošanas rezervēm ar manuālu aktivizāciju</w:t>
            </w:r>
          </w:p>
        </w:tc>
      </w:tr>
      <w:tr w:rsidR="00F527BD" w14:paraId="720D8A69" w14:textId="77777777" w:rsidTr="00F527BD">
        <w:tc>
          <w:tcPr>
            <w:tcW w:w="1276" w:type="dxa"/>
          </w:tcPr>
          <w:p w14:paraId="4B011616" w14:textId="77777777" w:rsidR="00422A2A" w:rsidRDefault="00422A2A" w:rsidP="005A43AF">
            <w:pPr>
              <w:pStyle w:val="Point0number"/>
              <w:numPr>
                <w:ilvl w:val="1"/>
                <w:numId w:val="35"/>
              </w:numPr>
              <w:tabs>
                <w:tab w:val="left" w:pos="720"/>
              </w:tabs>
              <w:spacing w:before="0" w:after="0"/>
              <w:rPr>
                <w:b/>
                <w:bCs/>
                <w:szCs w:val="24"/>
                <w:lang w:val="en-US"/>
              </w:rPr>
            </w:pPr>
          </w:p>
        </w:tc>
        <w:tc>
          <w:tcPr>
            <w:tcW w:w="3890" w:type="dxa"/>
          </w:tcPr>
          <w:p w14:paraId="47BD73FA" w14:textId="2C94294C" w:rsidR="00422A2A" w:rsidRPr="0030041C" w:rsidRDefault="00422A2A" w:rsidP="00422A2A">
            <w:pPr>
              <w:pStyle w:val="Point0number"/>
              <w:numPr>
                <w:ilvl w:val="0"/>
                <w:numId w:val="0"/>
              </w:numPr>
              <w:tabs>
                <w:tab w:val="left" w:pos="720"/>
              </w:tabs>
              <w:spacing w:before="0" w:after="0"/>
              <w:rPr>
                <w:b/>
                <w:bCs/>
                <w:szCs w:val="24"/>
                <w:lang w:val="en-US"/>
              </w:rPr>
            </w:pPr>
            <w:proofErr w:type="spellStart"/>
            <w:r>
              <w:rPr>
                <w:b/>
                <w:bCs/>
                <w:szCs w:val="24"/>
                <w:lang w:val="en-US"/>
              </w:rPr>
              <w:t>mFRR</w:t>
            </w:r>
            <w:proofErr w:type="spellEnd"/>
            <w:r>
              <w:rPr>
                <w:b/>
                <w:bCs/>
                <w:szCs w:val="24"/>
                <w:lang w:val="en-US"/>
              </w:rPr>
              <w:t xml:space="preserve"> </w:t>
            </w:r>
            <w:r w:rsidRPr="00941DA8">
              <w:rPr>
                <w:b/>
                <w:bCs/>
                <w:szCs w:val="24"/>
                <w:lang w:val="en-US"/>
              </w:rPr>
              <w:t xml:space="preserve">MTU – </w:t>
            </w:r>
            <w:r w:rsidRPr="00946CD0">
              <w:rPr>
                <w:szCs w:val="24"/>
                <w:lang w:val="en-US"/>
              </w:rPr>
              <w:t xml:space="preserve">balancing market time unit that is defined in </w:t>
            </w:r>
            <w:proofErr w:type="spellStart"/>
            <w:r w:rsidRPr="00946CD0">
              <w:rPr>
                <w:szCs w:val="24"/>
                <w:lang w:val="en-US"/>
              </w:rPr>
              <w:t>mFRR</w:t>
            </w:r>
            <w:proofErr w:type="spellEnd"/>
            <w:r w:rsidRPr="00946CD0">
              <w:rPr>
                <w:szCs w:val="24"/>
                <w:lang w:val="en-US"/>
              </w:rPr>
              <w:t xml:space="preserve"> IF</w:t>
            </w:r>
          </w:p>
        </w:tc>
        <w:tc>
          <w:tcPr>
            <w:tcW w:w="3760" w:type="dxa"/>
          </w:tcPr>
          <w:p w14:paraId="4A1711AA" w14:textId="23F50D6F" w:rsidR="00422A2A" w:rsidRPr="00941DA8" w:rsidRDefault="00422A2A" w:rsidP="005A43AF">
            <w:pPr>
              <w:pStyle w:val="Point0number"/>
              <w:numPr>
                <w:ilvl w:val="0"/>
                <w:numId w:val="0"/>
              </w:numPr>
              <w:tabs>
                <w:tab w:val="left" w:pos="720"/>
              </w:tabs>
              <w:spacing w:before="0" w:after="0"/>
              <w:rPr>
                <w:b/>
                <w:bCs/>
                <w:szCs w:val="24"/>
                <w:lang w:val="en-US"/>
              </w:rPr>
            </w:pPr>
            <w:proofErr w:type="spellStart"/>
            <w:r>
              <w:rPr>
                <w:b/>
                <w:bCs/>
                <w:szCs w:val="24"/>
                <w:lang w:val="en-US"/>
              </w:rPr>
              <w:t>mFRR</w:t>
            </w:r>
            <w:proofErr w:type="spellEnd"/>
            <w:r>
              <w:rPr>
                <w:b/>
                <w:bCs/>
                <w:szCs w:val="24"/>
                <w:lang w:val="en-US"/>
              </w:rPr>
              <w:t xml:space="preserve"> </w:t>
            </w:r>
            <w:r w:rsidRPr="00941DA8">
              <w:rPr>
                <w:b/>
                <w:bCs/>
                <w:szCs w:val="24"/>
                <w:lang w:val="en-US"/>
              </w:rPr>
              <w:t xml:space="preserve">MTU – </w:t>
            </w:r>
            <w:proofErr w:type="spellStart"/>
            <w:r w:rsidRPr="00941DA8">
              <w:rPr>
                <w:szCs w:val="24"/>
                <w:lang w:val="en-US"/>
              </w:rPr>
              <w:t>balansēšanas</w:t>
            </w:r>
            <w:proofErr w:type="spellEnd"/>
            <w:r w:rsidRPr="00941DA8">
              <w:rPr>
                <w:szCs w:val="24"/>
                <w:lang w:val="en-US"/>
              </w:rPr>
              <w:t xml:space="preserve"> </w:t>
            </w:r>
            <w:proofErr w:type="spellStart"/>
            <w:r w:rsidRPr="00941DA8">
              <w:rPr>
                <w:szCs w:val="24"/>
                <w:lang w:val="en-US"/>
              </w:rPr>
              <w:t>tirgus</w:t>
            </w:r>
            <w:proofErr w:type="spellEnd"/>
            <w:r w:rsidRPr="00941DA8">
              <w:rPr>
                <w:szCs w:val="24"/>
                <w:lang w:val="en-US"/>
              </w:rPr>
              <w:t xml:space="preserve"> </w:t>
            </w:r>
            <w:proofErr w:type="spellStart"/>
            <w:r w:rsidRPr="00941DA8">
              <w:rPr>
                <w:szCs w:val="24"/>
                <w:lang w:val="en-US"/>
              </w:rPr>
              <w:t>laika</w:t>
            </w:r>
            <w:proofErr w:type="spellEnd"/>
            <w:r w:rsidRPr="00941DA8">
              <w:rPr>
                <w:szCs w:val="24"/>
                <w:lang w:val="en-US"/>
              </w:rPr>
              <w:t xml:space="preserve"> </w:t>
            </w:r>
            <w:proofErr w:type="spellStart"/>
            <w:r w:rsidRPr="00941DA8">
              <w:rPr>
                <w:szCs w:val="24"/>
                <w:lang w:val="en-US"/>
              </w:rPr>
              <w:t>vienība</w:t>
            </w:r>
            <w:proofErr w:type="spellEnd"/>
            <w:r w:rsidRPr="00941DA8">
              <w:rPr>
                <w:szCs w:val="24"/>
                <w:lang w:val="en-US"/>
              </w:rPr>
              <w:t xml:space="preserve">, kas </w:t>
            </w:r>
            <w:proofErr w:type="spellStart"/>
            <w:r w:rsidRPr="00941DA8">
              <w:rPr>
                <w:szCs w:val="24"/>
                <w:lang w:val="en-US"/>
              </w:rPr>
              <w:t>noteikta</w:t>
            </w:r>
            <w:proofErr w:type="spellEnd"/>
            <w:r w:rsidRPr="00941DA8">
              <w:rPr>
                <w:szCs w:val="24"/>
                <w:lang w:val="en-US"/>
              </w:rPr>
              <w:t xml:space="preserve"> </w:t>
            </w:r>
            <w:proofErr w:type="spellStart"/>
            <w:r w:rsidRPr="00941DA8">
              <w:rPr>
                <w:szCs w:val="24"/>
                <w:lang w:val="en-US"/>
              </w:rPr>
              <w:t>mFRR</w:t>
            </w:r>
            <w:proofErr w:type="spellEnd"/>
            <w:r w:rsidRPr="00941DA8">
              <w:rPr>
                <w:szCs w:val="24"/>
                <w:lang w:val="en-US"/>
              </w:rPr>
              <w:t xml:space="preserve"> IF</w:t>
            </w:r>
          </w:p>
        </w:tc>
      </w:tr>
      <w:tr w:rsidR="00F527BD" w14:paraId="24A08C51" w14:textId="77777777" w:rsidTr="00F527BD">
        <w:tc>
          <w:tcPr>
            <w:tcW w:w="1276" w:type="dxa"/>
          </w:tcPr>
          <w:p w14:paraId="6F924034" w14:textId="77777777" w:rsidR="00422A2A" w:rsidRDefault="00422A2A" w:rsidP="005A43AF">
            <w:pPr>
              <w:pStyle w:val="Point0number"/>
              <w:numPr>
                <w:ilvl w:val="1"/>
                <w:numId w:val="35"/>
              </w:numPr>
              <w:tabs>
                <w:tab w:val="left" w:pos="720"/>
              </w:tabs>
              <w:spacing w:before="0" w:after="0"/>
              <w:rPr>
                <w:b/>
                <w:bCs/>
                <w:szCs w:val="24"/>
                <w:lang w:val="en-US"/>
              </w:rPr>
            </w:pPr>
          </w:p>
        </w:tc>
        <w:tc>
          <w:tcPr>
            <w:tcW w:w="3890" w:type="dxa"/>
          </w:tcPr>
          <w:p w14:paraId="5E0D2080" w14:textId="03B91CCB" w:rsidR="00422A2A" w:rsidRPr="00941DA8" w:rsidRDefault="00422A2A" w:rsidP="00422A2A">
            <w:pPr>
              <w:pStyle w:val="Point0number"/>
              <w:numPr>
                <w:ilvl w:val="0"/>
                <w:numId w:val="0"/>
              </w:numPr>
              <w:tabs>
                <w:tab w:val="left" w:pos="720"/>
              </w:tabs>
              <w:spacing w:before="0" w:after="0"/>
              <w:rPr>
                <w:b/>
                <w:bCs/>
                <w:szCs w:val="24"/>
                <w:lang w:val="en-US"/>
              </w:rPr>
            </w:pPr>
            <w:proofErr w:type="spellStart"/>
            <w:r>
              <w:rPr>
                <w:b/>
                <w:bCs/>
                <w:szCs w:val="24"/>
                <w:lang w:val="en-US"/>
              </w:rPr>
              <w:t>aFRR</w:t>
            </w:r>
            <w:proofErr w:type="spellEnd"/>
            <w:r>
              <w:rPr>
                <w:b/>
                <w:bCs/>
                <w:szCs w:val="24"/>
                <w:lang w:val="en-US"/>
              </w:rPr>
              <w:t xml:space="preserve"> MTU - </w:t>
            </w:r>
            <w:r w:rsidRPr="00946CD0">
              <w:rPr>
                <w:szCs w:val="24"/>
                <w:lang w:val="en-US"/>
              </w:rPr>
              <w:t xml:space="preserve">balancing market time unit that is defined in </w:t>
            </w:r>
            <w:proofErr w:type="spellStart"/>
            <w:r w:rsidRPr="00946CD0">
              <w:rPr>
                <w:szCs w:val="24"/>
                <w:lang w:val="en-US"/>
              </w:rPr>
              <w:t>aFRR</w:t>
            </w:r>
            <w:proofErr w:type="spellEnd"/>
            <w:r w:rsidRPr="00946CD0">
              <w:rPr>
                <w:szCs w:val="24"/>
                <w:lang w:val="en-US"/>
              </w:rPr>
              <w:t xml:space="preserve"> IF</w:t>
            </w:r>
          </w:p>
        </w:tc>
        <w:tc>
          <w:tcPr>
            <w:tcW w:w="3760" w:type="dxa"/>
          </w:tcPr>
          <w:p w14:paraId="38A4C82F" w14:textId="6F79F009" w:rsidR="00422A2A" w:rsidRDefault="00422A2A" w:rsidP="005A43AF">
            <w:pPr>
              <w:pStyle w:val="Point0number"/>
              <w:numPr>
                <w:ilvl w:val="0"/>
                <w:numId w:val="0"/>
              </w:numPr>
              <w:tabs>
                <w:tab w:val="left" w:pos="720"/>
              </w:tabs>
              <w:spacing w:before="0" w:after="0"/>
              <w:rPr>
                <w:b/>
                <w:bCs/>
                <w:szCs w:val="24"/>
                <w:lang w:val="en-US"/>
              </w:rPr>
            </w:pPr>
            <w:proofErr w:type="spellStart"/>
            <w:r>
              <w:rPr>
                <w:b/>
                <w:bCs/>
                <w:szCs w:val="24"/>
                <w:lang w:val="en-US"/>
              </w:rPr>
              <w:t>aFRR</w:t>
            </w:r>
            <w:proofErr w:type="spellEnd"/>
            <w:r>
              <w:rPr>
                <w:b/>
                <w:bCs/>
                <w:szCs w:val="24"/>
                <w:lang w:val="en-US"/>
              </w:rPr>
              <w:t xml:space="preserve"> MTU - </w:t>
            </w:r>
            <w:proofErr w:type="spellStart"/>
            <w:r w:rsidRPr="0030041C">
              <w:rPr>
                <w:szCs w:val="24"/>
                <w:lang w:val="en-US"/>
              </w:rPr>
              <w:t>balansēšanas</w:t>
            </w:r>
            <w:proofErr w:type="spellEnd"/>
            <w:r w:rsidRPr="0030041C">
              <w:rPr>
                <w:szCs w:val="24"/>
                <w:lang w:val="en-US"/>
              </w:rPr>
              <w:t xml:space="preserve"> </w:t>
            </w:r>
            <w:proofErr w:type="spellStart"/>
            <w:r w:rsidRPr="0030041C">
              <w:rPr>
                <w:szCs w:val="24"/>
                <w:lang w:val="en-US"/>
              </w:rPr>
              <w:t>tirgus</w:t>
            </w:r>
            <w:proofErr w:type="spellEnd"/>
            <w:r w:rsidRPr="0030041C">
              <w:rPr>
                <w:szCs w:val="24"/>
                <w:lang w:val="en-US"/>
              </w:rPr>
              <w:t xml:space="preserve"> </w:t>
            </w:r>
            <w:proofErr w:type="spellStart"/>
            <w:r w:rsidRPr="0030041C">
              <w:rPr>
                <w:szCs w:val="24"/>
                <w:lang w:val="en-US"/>
              </w:rPr>
              <w:t>laika</w:t>
            </w:r>
            <w:proofErr w:type="spellEnd"/>
            <w:r w:rsidRPr="0030041C">
              <w:rPr>
                <w:szCs w:val="24"/>
                <w:lang w:val="en-US"/>
              </w:rPr>
              <w:t xml:space="preserve"> </w:t>
            </w:r>
            <w:proofErr w:type="spellStart"/>
            <w:r w:rsidRPr="0030041C">
              <w:rPr>
                <w:szCs w:val="24"/>
                <w:lang w:val="en-US"/>
              </w:rPr>
              <w:t>vienība</w:t>
            </w:r>
            <w:proofErr w:type="spellEnd"/>
            <w:r w:rsidRPr="0030041C">
              <w:rPr>
                <w:szCs w:val="24"/>
                <w:lang w:val="en-US"/>
              </w:rPr>
              <w:t xml:space="preserve">, kas </w:t>
            </w:r>
            <w:proofErr w:type="spellStart"/>
            <w:r w:rsidRPr="0030041C">
              <w:rPr>
                <w:szCs w:val="24"/>
                <w:lang w:val="en-US"/>
              </w:rPr>
              <w:t>noteikta</w:t>
            </w:r>
            <w:proofErr w:type="spellEnd"/>
            <w:r w:rsidRPr="0030041C">
              <w:rPr>
                <w:szCs w:val="24"/>
                <w:lang w:val="en-US"/>
              </w:rPr>
              <w:t xml:space="preserve"> </w:t>
            </w:r>
            <w:proofErr w:type="spellStart"/>
            <w:r w:rsidRPr="0030041C">
              <w:rPr>
                <w:szCs w:val="24"/>
                <w:lang w:val="en-US"/>
              </w:rPr>
              <w:t>aFRR</w:t>
            </w:r>
            <w:proofErr w:type="spellEnd"/>
            <w:r w:rsidRPr="0030041C">
              <w:rPr>
                <w:szCs w:val="24"/>
                <w:lang w:val="en-US"/>
              </w:rPr>
              <w:t xml:space="preserve"> IF</w:t>
            </w:r>
          </w:p>
        </w:tc>
      </w:tr>
      <w:tr w:rsidR="00F527BD" w14:paraId="1B116F22" w14:textId="77777777" w:rsidTr="00F527BD">
        <w:tc>
          <w:tcPr>
            <w:tcW w:w="1276" w:type="dxa"/>
          </w:tcPr>
          <w:p w14:paraId="5B52E3C6"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6BE67C7F" w14:textId="58B60E63"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CBMP </w:t>
            </w:r>
            <w:r w:rsidRPr="0030041C">
              <w:rPr>
                <w:b/>
                <w:bCs/>
                <w:szCs w:val="24"/>
                <w:lang w:val="en-US"/>
              </w:rPr>
              <w:t xml:space="preserve">– </w:t>
            </w:r>
            <w:r w:rsidRPr="00946CD0">
              <w:rPr>
                <w:szCs w:val="24"/>
                <w:lang w:val="en-US"/>
              </w:rPr>
              <w:t>Cross border marginal price</w:t>
            </w:r>
            <w:r w:rsidRPr="00941DA8">
              <w:rPr>
                <w:b/>
                <w:bCs/>
                <w:szCs w:val="24"/>
                <w:lang w:val="en-US"/>
              </w:rPr>
              <w:t xml:space="preserve"> </w:t>
            </w:r>
          </w:p>
        </w:tc>
        <w:tc>
          <w:tcPr>
            <w:tcW w:w="3760" w:type="dxa"/>
          </w:tcPr>
          <w:p w14:paraId="04430B34" w14:textId="2878784E" w:rsidR="00422A2A" w:rsidRPr="00941DA8" w:rsidRDefault="00422A2A" w:rsidP="005A43AF">
            <w:pPr>
              <w:pStyle w:val="Point0number"/>
              <w:numPr>
                <w:ilvl w:val="0"/>
                <w:numId w:val="0"/>
              </w:numPr>
              <w:tabs>
                <w:tab w:val="left" w:pos="720"/>
              </w:tabs>
              <w:spacing w:before="0" w:after="0"/>
              <w:ind w:left="850" w:hanging="850"/>
              <w:rPr>
                <w:b/>
                <w:bCs/>
                <w:szCs w:val="24"/>
                <w:lang w:val="en-US"/>
              </w:rPr>
            </w:pPr>
            <w:r w:rsidRPr="00941DA8">
              <w:rPr>
                <w:b/>
                <w:bCs/>
                <w:szCs w:val="24"/>
                <w:lang w:val="en-US"/>
              </w:rPr>
              <w:t xml:space="preserve">CBMP </w:t>
            </w:r>
            <w:r w:rsidRPr="00941DA8">
              <w:rPr>
                <w:szCs w:val="24"/>
                <w:lang w:val="en-US"/>
              </w:rPr>
              <w:t xml:space="preserve">- </w:t>
            </w:r>
            <w:proofErr w:type="spellStart"/>
            <w:r w:rsidRPr="00941DA8">
              <w:rPr>
                <w:szCs w:val="24"/>
                <w:lang w:val="en-US"/>
              </w:rPr>
              <w:t>Pārrobežu</w:t>
            </w:r>
            <w:proofErr w:type="spellEnd"/>
            <w:r w:rsidRPr="00941DA8">
              <w:rPr>
                <w:szCs w:val="24"/>
                <w:lang w:val="en-US"/>
              </w:rPr>
              <w:t xml:space="preserve"> </w:t>
            </w:r>
            <w:proofErr w:type="spellStart"/>
            <w:r w:rsidRPr="00941DA8">
              <w:rPr>
                <w:szCs w:val="24"/>
                <w:lang w:val="en-US"/>
              </w:rPr>
              <w:t>robežcena</w:t>
            </w:r>
            <w:proofErr w:type="spellEnd"/>
            <w:r w:rsidRPr="00941DA8">
              <w:rPr>
                <w:b/>
                <w:bCs/>
                <w:szCs w:val="24"/>
                <w:lang w:val="en-US"/>
              </w:rPr>
              <w:t xml:space="preserve"> </w:t>
            </w:r>
          </w:p>
        </w:tc>
      </w:tr>
      <w:tr w:rsidR="00F527BD" w14:paraId="0F080F7A" w14:textId="77777777" w:rsidTr="00F527BD">
        <w:tc>
          <w:tcPr>
            <w:tcW w:w="1276" w:type="dxa"/>
          </w:tcPr>
          <w:p w14:paraId="0E9265E2" w14:textId="77777777" w:rsidR="00422A2A" w:rsidRPr="00941DA8" w:rsidRDefault="00422A2A" w:rsidP="005A43AF">
            <w:pPr>
              <w:pStyle w:val="Point0number"/>
              <w:numPr>
                <w:ilvl w:val="1"/>
                <w:numId w:val="35"/>
              </w:numPr>
              <w:tabs>
                <w:tab w:val="left" w:pos="720"/>
              </w:tabs>
              <w:spacing w:before="0" w:after="0"/>
              <w:rPr>
                <w:b/>
                <w:bCs/>
                <w:szCs w:val="24"/>
                <w:lang w:val="en-US"/>
              </w:rPr>
            </w:pPr>
          </w:p>
        </w:tc>
        <w:tc>
          <w:tcPr>
            <w:tcW w:w="3890" w:type="dxa"/>
          </w:tcPr>
          <w:p w14:paraId="1BFFD741" w14:textId="15F90DC8" w:rsidR="00422A2A" w:rsidRPr="00941DA8" w:rsidRDefault="00422A2A" w:rsidP="00422A2A">
            <w:pPr>
              <w:pStyle w:val="Point0number"/>
              <w:numPr>
                <w:ilvl w:val="0"/>
                <w:numId w:val="0"/>
              </w:numPr>
              <w:tabs>
                <w:tab w:val="left" w:pos="720"/>
              </w:tabs>
              <w:spacing w:before="0" w:after="0"/>
              <w:rPr>
                <w:b/>
                <w:bCs/>
                <w:szCs w:val="24"/>
                <w:lang w:val="en-US"/>
              </w:rPr>
            </w:pPr>
            <w:r w:rsidRPr="00941DA8">
              <w:rPr>
                <w:b/>
                <w:bCs/>
                <w:szCs w:val="24"/>
                <w:lang w:val="en-US"/>
              </w:rPr>
              <w:t xml:space="preserve">Direct activation (DA) – </w:t>
            </w:r>
            <w:r w:rsidRPr="00946CD0">
              <w:rPr>
                <w:szCs w:val="24"/>
                <w:lang w:val="en-US"/>
              </w:rPr>
              <w:t xml:space="preserve">type of </w:t>
            </w:r>
            <w:proofErr w:type="spellStart"/>
            <w:r w:rsidRPr="00946CD0">
              <w:rPr>
                <w:szCs w:val="24"/>
                <w:lang w:val="en-US"/>
              </w:rPr>
              <w:t>mFRR</w:t>
            </w:r>
            <w:proofErr w:type="spellEnd"/>
            <w:r w:rsidRPr="00946CD0">
              <w:rPr>
                <w:szCs w:val="24"/>
                <w:lang w:val="en-US"/>
              </w:rPr>
              <w:t xml:space="preserve"> standard product balancing bid activation, that can be initiated at any point of time following the point of scheduled activation of the market time unit for which the bid is submitted and until the point of</w:t>
            </w:r>
            <w:r w:rsidRPr="0030041C">
              <w:rPr>
                <w:b/>
                <w:bCs/>
                <w:szCs w:val="24"/>
                <w:lang w:val="en-US"/>
              </w:rPr>
              <w:t xml:space="preserve"> </w:t>
            </w:r>
            <w:r w:rsidRPr="00946CD0">
              <w:rPr>
                <w:szCs w:val="24"/>
                <w:lang w:val="en-US"/>
              </w:rPr>
              <w:t>scheduled activation of the subsequent market time unit.</w:t>
            </w:r>
          </w:p>
        </w:tc>
        <w:tc>
          <w:tcPr>
            <w:tcW w:w="3760" w:type="dxa"/>
          </w:tcPr>
          <w:p w14:paraId="40F195AE" w14:textId="3276BAF0" w:rsidR="00422A2A" w:rsidRPr="00941DA8" w:rsidRDefault="00422A2A" w:rsidP="005A43AF">
            <w:pPr>
              <w:pStyle w:val="Point0number"/>
              <w:numPr>
                <w:ilvl w:val="0"/>
                <w:numId w:val="0"/>
              </w:numPr>
              <w:tabs>
                <w:tab w:val="left" w:pos="720"/>
              </w:tabs>
              <w:spacing w:before="0" w:after="0"/>
              <w:ind w:hanging="2"/>
              <w:rPr>
                <w:b/>
                <w:bCs/>
                <w:szCs w:val="24"/>
                <w:lang w:val="en-US"/>
              </w:rPr>
            </w:pPr>
            <w:proofErr w:type="spellStart"/>
            <w:r w:rsidRPr="00941DA8">
              <w:rPr>
                <w:b/>
                <w:bCs/>
                <w:szCs w:val="24"/>
                <w:lang w:val="en-US"/>
              </w:rPr>
              <w:t>Tiešā</w:t>
            </w:r>
            <w:proofErr w:type="spellEnd"/>
            <w:r w:rsidRPr="00941DA8">
              <w:rPr>
                <w:b/>
                <w:bCs/>
                <w:szCs w:val="24"/>
                <w:lang w:val="en-US"/>
              </w:rPr>
              <w:t xml:space="preserve"> </w:t>
            </w:r>
            <w:proofErr w:type="spellStart"/>
            <w:r w:rsidRPr="00941DA8">
              <w:rPr>
                <w:b/>
                <w:bCs/>
                <w:szCs w:val="24"/>
                <w:lang w:val="en-US"/>
              </w:rPr>
              <w:t>aktivizācija</w:t>
            </w:r>
            <w:proofErr w:type="spellEnd"/>
            <w:r w:rsidRPr="00941DA8">
              <w:rPr>
                <w:b/>
                <w:bCs/>
                <w:szCs w:val="24"/>
                <w:lang w:val="en-US"/>
              </w:rPr>
              <w:t xml:space="preserve"> (DA) - </w:t>
            </w:r>
            <w:proofErr w:type="spellStart"/>
            <w:r w:rsidRPr="00941DA8">
              <w:rPr>
                <w:rFonts w:eastAsia="Times New Roman"/>
                <w:bCs/>
                <w:szCs w:val="24"/>
              </w:rPr>
              <w:t>mFRR</w:t>
            </w:r>
            <w:proofErr w:type="spellEnd"/>
            <w:r w:rsidRPr="00941DA8">
              <w:rPr>
                <w:rFonts w:eastAsia="Times New Roman"/>
                <w:bCs/>
                <w:szCs w:val="24"/>
              </w:rPr>
              <w:t xml:space="preserve"> </w:t>
            </w:r>
            <w:proofErr w:type="spellStart"/>
            <w:r w:rsidRPr="00941DA8">
              <w:rPr>
                <w:szCs w:val="24"/>
              </w:rPr>
              <w:t>standarta</w:t>
            </w:r>
            <w:proofErr w:type="spellEnd"/>
            <w:r w:rsidRPr="00941DA8">
              <w:rPr>
                <w:szCs w:val="24"/>
              </w:rPr>
              <w:t xml:space="preserve"> </w:t>
            </w:r>
            <w:proofErr w:type="spellStart"/>
            <w:r w:rsidRPr="00941DA8">
              <w:rPr>
                <w:szCs w:val="24"/>
              </w:rPr>
              <w:t>produkta</w:t>
            </w:r>
            <w:proofErr w:type="spellEnd"/>
            <w:r w:rsidRPr="00941DA8">
              <w:rPr>
                <w:szCs w:val="24"/>
              </w:rPr>
              <w:t xml:space="preserve"> </w:t>
            </w:r>
            <w:proofErr w:type="spellStart"/>
            <w:r w:rsidRPr="00941DA8">
              <w:rPr>
                <w:szCs w:val="24"/>
              </w:rPr>
              <w:t>regulēšanas</w:t>
            </w:r>
            <w:proofErr w:type="spellEnd"/>
            <w:r w:rsidRPr="00941DA8">
              <w:rPr>
                <w:szCs w:val="24"/>
              </w:rPr>
              <w:t xml:space="preserve"> </w:t>
            </w:r>
            <w:proofErr w:type="spellStart"/>
            <w:r w:rsidRPr="00941DA8">
              <w:rPr>
                <w:szCs w:val="24"/>
              </w:rPr>
              <w:t>solījuma</w:t>
            </w:r>
            <w:proofErr w:type="spellEnd"/>
            <w:r w:rsidRPr="00941DA8">
              <w:rPr>
                <w:szCs w:val="24"/>
              </w:rPr>
              <w:t xml:space="preserve"> </w:t>
            </w:r>
            <w:proofErr w:type="spellStart"/>
            <w:r w:rsidRPr="00941DA8">
              <w:rPr>
                <w:szCs w:val="24"/>
              </w:rPr>
              <w:t>aktivizācijas</w:t>
            </w:r>
            <w:proofErr w:type="spellEnd"/>
            <w:r w:rsidRPr="00941DA8">
              <w:rPr>
                <w:szCs w:val="24"/>
              </w:rPr>
              <w:t xml:space="preserve"> </w:t>
            </w:r>
            <w:proofErr w:type="spellStart"/>
            <w:r w:rsidRPr="00941DA8">
              <w:rPr>
                <w:szCs w:val="24"/>
              </w:rPr>
              <w:t>veids</w:t>
            </w:r>
            <w:proofErr w:type="spellEnd"/>
            <w:r w:rsidRPr="00941DA8">
              <w:rPr>
                <w:szCs w:val="24"/>
              </w:rPr>
              <w:t xml:space="preserve">, kuru var </w:t>
            </w:r>
            <w:proofErr w:type="spellStart"/>
            <w:r w:rsidRPr="00941DA8">
              <w:rPr>
                <w:szCs w:val="24"/>
              </w:rPr>
              <w:t>iniciēt</w:t>
            </w:r>
            <w:proofErr w:type="spellEnd"/>
            <w:r w:rsidRPr="00941DA8">
              <w:rPr>
                <w:szCs w:val="24"/>
              </w:rPr>
              <w:t xml:space="preserve"> </w:t>
            </w:r>
            <w:proofErr w:type="spellStart"/>
            <w:r w:rsidRPr="00941DA8">
              <w:rPr>
                <w:szCs w:val="24"/>
              </w:rPr>
              <w:t>jebkurā</w:t>
            </w:r>
            <w:proofErr w:type="spellEnd"/>
            <w:r w:rsidRPr="00941DA8">
              <w:rPr>
                <w:szCs w:val="24"/>
              </w:rPr>
              <w:t xml:space="preserve"> </w:t>
            </w:r>
            <w:proofErr w:type="spellStart"/>
            <w:r w:rsidRPr="00941DA8">
              <w:rPr>
                <w:szCs w:val="24"/>
              </w:rPr>
              <w:t>laikā</w:t>
            </w:r>
            <w:proofErr w:type="spellEnd"/>
            <w:r w:rsidRPr="00941DA8">
              <w:rPr>
                <w:szCs w:val="24"/>
              </w:rPr>
              <w:t xml:space="preserve"> </w:t>
            </w:r>
            <w:proofErr w:type="spellStart"/>
            <w:r w:rsidRPr="00941DA8">
              <w:rPr>
                <w:szCs w:val="24"/>
              </w:rPr>
              <w:t>pēc</w:t>
            </w:r>
            <w:proofErr w:type="spellEnd"/>
            <w:r w:rsidRPr="00941DA8">
              <w:rPr>
                <w:szCs w:val="24"/>
              </w:rPr>
              <w:t xml:space="preserve"> </w:t>
            </w:r>
            <w:proofErr w:type="spellStart"/>
            <w:r w:rsidRPr="00941DA8">
              <w:rPr>
                <w:szCs w:val="24"/>
              </w:rPr>
              <w:t>plānotās</w:t>
            </w:r>
            <w:proofErr w:type="spellEnd"/>
            <w:r w:rsidRPr="00941DA8">
              <w:rPr>
                <w:szCs w:val="24"/>
              </w:rPr>
              <w:t xml:space="preserve"> </w:t>
            </w:r>
            <w:proofErr w:type="spellStart"/>
            <w:r w:rsidRPr="00941DA8">
              <w:rPr>
                <w:szCs w:val="24"/>
              </w:rPr>
              <w:t>aktivizācijas</w:t>
            </w:r>
            <w:proofErr w:type="spellEnd"/>
            <w:r w:rsidRPr="00941DA8">
              <w:rPr>
                <w:szCs w:val="24"/>
              </w:rPr>
              <w:t xml:space="preserve"> </w:t>
            </w:r>
            <w:proofErr w:type="spellStart"/>
            <w:r w:rsidRPr="00941DA8">
              <w:rPr>
                <w:szCs w:val="24"/>
              </w:rPr>
              <w:t>attiecīgajā</w:t>
            </w:r>
            <w:proofErr w:type="spellEnd"/>
            <w:r w:rsidRPr="00941DA8">
              <w:rPr>
                <w:szCs w:val="24"/>
              </w:rPr>
              <w:t xml:space="preserve"> </w:t>
            </w:r>
            <w:proofErr w:type="spellStart"/>
            <w:r w:rsidRPr="00941DA8">
              <w:rPr>
                <w:szCs w:val="24"/>
              </w:rPr>
              <w:t>balansēšanas</w:t>
            </w:r>
            <w:proofErr w:type="spellEnd"/>
            <w:r w:rsidRPr="00941DA8">
              <w:rPr>
                <w:szCs w:val="24"/>
              </w:rPr>
              <w:t xml:space="preserve"> </w:t>
            </w:r>
            <w:proofErr w:type="spellStart"/>
            <w:r w:rsidRPr="00941DA8">
              <w:rPr>
                <w:szCs w:val="24"/>
              </w:rPr>
              <w:t>tirgus</w:t>
            </w:r>
            <w:proofErr w:type="spellEnd"/>
            <w:r w:rsidRPr="00941DA8">
              <w:rPr>
                <w:szCs w:val="24"/>
              </w:rPr>
              <w:t xml:space="preserve"> </w:t>
            </w:r>
            <w:proofErr w:type="spellStart"/>
            <w:r w:rsidRPr="00941DA8">
              <w:rPr>
                <w:szCs w:val="24"/>
              </w:rPr>
              <w:t>laika</w:t>
            </w:r>
            <w:proofErr w:type="spellEnd"/>
            <w:r w:rsidRPr="00941DA8">
              <w:rPr>
                <w:szCs w:val="24"/>
              </w:rPr>
              <w:t xml:space="preserve"> </w:t>
            </w:r>
            <w:proofErr w:type="spellStart"/>
            <w:r w:rsidRPr="00941DA8">
              <w:rPr>
                <w:szCs w:val="24"/>
              </w:rPr>
              <w:t>vienībā</w:t>
            </w:r>
            <w:proofErr w:type="spellEnd"/>
            <w:r w:rsidRPr="00941DA8">
              <w:rPr>
                <w:szCs w:val="24"/>
              </w:rPr>
              <w:t xml:space="preserve"> </w:t>
            </w:r>
            <w:proofErr w:type="spellStart"/>
            <w:r w:rsidRPr="00941DA8">
              <w:rPr>
                <w:szCs w:val="24"/>
              </w:rPr>
              <w:t>līdz</w:t>
            </w:r>
            <w:proofErr w:type="spellEnd"/>
            <w:r w:rsidRPr="00941DA8">
              <w:rPr>
                <w:szCs w:val="24"/>
              </w:rPr>
              <w:t xml:space="preserve"> </w:t>
            </w:r>
            <w:proofErr w:type="spellStart"/>
            <w:r w:rsidRPr="00941DA8">
              <w:rPr>
                <w:szCs w:val="24"/>
              </w:rPr>
              <w:t>nākošās</w:t>
            </w:r>
            <w:proofErr w:type="spellEnd"/>
            <w:r w:rsidRPr="00941DA8">
              <w:rPr>
                <w:szCs w:val="24"/>
              </w:rPr>
              <w:t xml:space="preserve"> </w:t>
            </w:r>
            <w:proofErr w:type="spellStart"/>
            <w:r w:rsidRPr="00941DA8">
              <w:rPr>
                <w:szCs w:val="24"/>
              </w:rPr>
              <w:t>balansēšanas</w:t>
            </w:r>
            <w:proofErr w:type="spellEnd"/>
            <w:r w:rsidRPr="00941DA8">
              <w:rPr>
                <w:szCs w:val="24"/>
              </w:rPr>
              <w:t xml:space="preserve"> </w:t>
            </w:r>
            <w:proofErr w:type="spellStart"/>
            <w:r w:rsidRPr="00941DA8">
              <w:rPr>
                <w:szCs w:val="24"/>
              </w:rPr>
              <w:t>tirgus</w:t>
            </w:r>
            <w:proofErr w:type="spellEnd"/>
            <w:r w:rsidRPr="00941DA8">
              <w:rPr>
                <w:szCs w:val="24"/>
              </w:rPr>
              <w:t xml:space="preserve"> </w:t>
            </w:r>
            <w:proofErr w:type="spellStart"/>
            <w:r w:rsidRPr="00941DA8">
              <w:rPr>
                <w:szCs w:val="24"/>
              </w:rPr>
              <w:t>laika</w:t>
            </w:r>
            <w:proofErr w:type="spellEnd"/>
            <w:r w:rsidRPr="00941DA8">
              <w:rPr>
                <w:szCs w:val="24"/>
              </w:rPr>
              <w:t xml:space="preserve"> </w:t>
            </w:r>
            <w:proofErr w:type="spellStart"/>
            <w:r w:rsidRPr="00941DA8">
              <w:rPr>
                <w:szCs w:val="24"/>
              </w:rPr>
              <w:t>vienības</w:t>
            </w:r>
            <w:proofErr w:type="spellEnd"/>
            <w:r w:rsidRPr="00941DA8">
              <w:rPr>
                <w:szCs w:val="24"/>
              </w:rPr>
              <w:t xml:space="preserve"> </w:t>
            </w:r>
            <w:proofErr w:type="spellStart"/>
            <w:r w:rsidRPr="00941DA8">
              <w:rPr>
                <w:szCs w:val="24"/>
              </w:rPr>
              <w:t>plānotas</w:t>
            </w:r>
            <w:proofErr w:type="spellEnd"/>
            <w:r w:rsidRPr="00941DA8">
              <w:rPr>
                <w:szCs w:val="24"/>
              </w:rPr>
              <w:t xml:space="preserve"> </w:t>
            </w:r>
            <w:proofErr w:type="spellStart"/>
            <w:r w:rsidRPr="00941DA8">
              <w:rPr>
                <w:szCs w:val="24"/>
              </w:rPr>
              <w:t>aktivizācijas</w:t>
            </w:r>
            <w:proofErr w:type="spellEnd"/>
            <w:r w:rsidRPr="00941DA8">
              <w:rPr>
                <w:szCs w:val="24"/>
              </w:rPr>
              <w:t xml:space="preserve"> </w:t>
            </w:r>
            <w:proofErr w:type="spellStart"/>
            <w:r w:rsidRPr="00941DA8">
              <w:rPr>
                <w:szCs w:val="24"/>
              </w:rPr>
              <w:t>laikam</w:t>
            </w:r>
            <w:proofErr w:type="spellEnd"/>
            <w:r w:rsidRPr="00941DA8">
              <w:rPr>
                <w:szCs w:val="24"/>
              </w:rPr>
              <w:t xml:space="preserve"> </w:t>
            </w:r>
            <w:proofErr w:type="spellStart"/>
            <w:r w:rsidRPr="00941DA8">
              <w:rPr>
                <w:szCs w:val="24"/>
              </w:rPr>
              <w:t>saskaņā</w:t>
            </w:r>
            <w:proofErr w:type="spellEnd"/>
            <w:r w:rsidRPr="00941DA8">
              <w:rPr>
                <w:szCs w:val="24"/>
              </w:rPr>
              <w:t xml:space="preserve"> </w:t>
            </w:r>
            <w:proofErr w:type="spellStart"/>
            <w:r w:rsidRPr="00941DA8">
              <w:rPr>
                <w:szCs w:val="24"/>
              </w:rPr>
              <w:t>ar</w:t>
            </w:r>
            <w:proofErr w:type="spellEnd"/>
            <w:r w:rsidRPr="00941DA8">
              <w:rPr>
                <w:szCs w:val="24"/>
              </w:rPr>
              <w:t xml:space="preserve"> </w:t>
            </w:r>
            <w:proofErr w:type="spellStart"/>
            <w:r w:rsidRPr="00941DA8">
              <w:rPr>
                <w:szCs w:val="24"/>
              </w:rPr>
              <w:t>mFRR</w:t>
            </w:r>
            <w:proofErr w:type="spellEnd"/>
            <w:r w:rsidRPr="00941DA8">
              <w:rPr>
                <w:szCs w:val="24"/>
              </w:rPr>
              <w:t xml:space="preserve"> IF;</w:t>
            </w:r>
          </w:p>
        </w:tc>
      </w:tr>
      <w:tr w:rsidR="00F527BD" w14:paraId="6B8F85B9" w14:textId="77777777" w:rsidTr="00F527BD">
        <w:tc>
          <w:tcPr>
            <w:tcW w:w="1276" w:type="dxa"/>
          </w:tcPr>
          <w:p w14:paraId="488E317A" w14:textId="77777777" w:rsidR="00422A2A" w:rsidRPr="00941DA8" w:rsidRDefault="00422A2A" w:rsidP="005A43AF">
            <w:pPr>
              <w:pStyle w:val="Point0number"/>
              <w:numPr>
                <w:ilvl w:val="1"/>
                <w:numId w:val="35"/>
              </w:numPr>
              <w:spacing w:before="0" w:after="0"/>
              <w:ind w:left="451"/>
              <w:rPr>
                <w:b/>
                <w:bCs/>
                <w:szCs w:val="24"/>
                <w:lang w:val="en-US"/>
              </w:rPr>
            </w:pPr>
          </w:p>
        </w:tc>
        <w:tc>
          <w:tcPr>
            <w:tcW w:w="3890" w:type="dxa"/>
          </w:tcPr>
          <w:p w14:paraId="5BB09DB5" w14:textId="215B59BB" w:rsidR="00422A2A" w:rsidRPr="00941DA8" w:rsidRDefault="00422A2A" w:rsidP="00422A2A">
            <w:pPr>
              <w:pStyle w:val="Point0number"/>
              <w:numPr>
                <w:ilvl w:val="0"/>
                <w:numId w:val="0"/>
              </w:numPr>
              <w:spacing w:before="0" w:after="0"/>
              <w:ind w:left="91"/>
              <w:rPr>
                <w:b/>
                <w:bCs/>
                <w:szCs w:val="24"/>
                <w:lang w:val="en-US"/>
              </w:rPr>
            </w:pPr>
            <w:r w:rsidRPr="00941DA8">
              <w:rPr>
                <w:b/>
                <w:bCs/>
                <w:szCs w:val="24"/>
                <w:lang w:val="en-US"/>
              </w:rPr>
              <w:t xml:space="preserve">Scheduled activation (SA) - </w:t>
            </w:r>
            <w:r w:rsidRPr="00941DA8">
              <w:rPr>
                <w:szCs w:val="24"/>
                <w:lang w:val="en-US"/>
              </w:rPr>
              <w:t xml:space="preserve">type of </w:t>
            </w:r>
            <w:proofErr w:type="spellStart"/>
            <w:r w:rsidRPr="00941DA8">
              <w:rPr>
                <w:szCs w:val="24"/>
                <w:lang w:val="en-US"/>
              </w:rPr>
              <w:t>mFRR</w:t>
            </w:r>
            <w:proofErr w:type="spellEnd"/>
            <w:r w:rsidRPr="00941DA8">
              <w:rPr>
                <w:szCs w:val="24"/>
                <w:lang w:val="en-US"/>
              </w:rPr>
              <w:t xml:space="preserve"> standard product balancing bid activation</w:t>
            </w:r>
            <w:r w:rsidRPr="00941DA8">
              <w:rPr>
                <w:b/>
                <w:bCs/>
                <w:szCs w:val="24"/>
                <w:lang w:val="en-US"/>
              </w:rPr>
              <w:t xml:space="preserve"> </w:t>
            </w:r>
            <w:r w:rsidRPr="00941DA8">
              <w:rPr>
                <w:szCs w:val="24"/>
                <w:lang w:val="en-US"/>
              </w:rPr>
              <w:t>that can only be initiated at one specific point in time, i.e. the point of scheduled activation, with respect to the market time unit for which the balancing energy bid is submitted</w:t>
            </w:r>
          </w:p>
        </w:tc>
        <w:tc>
          <w:tcPr>
            <w:tcW w:w="3760" w:type="dxa"/>
          </w:tcPr>
          <w:p w14:paraId="219EFE53" w14:textId="4372EBD8" w:rsidR="00422A2A" w:rsidRPr="0030041C" w:rsidRDefault="00422A2A" w:rsidP="005A43AF">
            <w:pPr>
              <w:pStyle w:val="Point0number"/>
              <w:numPr>
                <w:ilvl w:val="0"/>
                <w:numId w:val="0"/>
              </w:numPr>
              <w:tabs>
                <w:tab w:val="left" w:pos="720"/>
              </w:tabs>
              <w:spacing w:before="0" w:after="0"/>
              <w:ind w:left="-2" w:firstLine="2"/>
              <w:rPr>
                <w:b/>
                <w:bCs/>
                <w:szCs w:val="24"/>
                <w:lang w:val="lv-LV"/>
              </w:rPr>
            </w:pPr>
            <w:r w:rsidRPr="0030041C">
              <w:rPr>
                <w:b/>
                <w:bCs/>
                <w:szCs w:val="24"/>
                <w:lang w:val="lv-LV"/>
              </w:rPr>
              <w:t xml:space="preserve">Plānotā aktivizācija (SA) - </w:t>
            </w:r>
            <w:proofErr w:type="spellStart"/>
            <w:r w:rsidRPr="0030041C">
              <w:rPr>
                <w:rFonts w:eastAsia="Times New Roman"/>
                <w:bCs/>
                <w:szCs w:val="24"/>
                <w:lang w:val="lv-LV"/>
              </w:rPr>
              <w:t>mFRR</w:t>
            </w:r>
            <w:proofErr w:type="spellEnd"/>
            <w:r w:rsidRPr="0030041C">
              <w:rPr>
                <w:rFonts w:eastAsia="Times New Roman"/>
                <w:bCs/>
                <w:szCs w:val="24"/>
                <w:lang w:val="lv-LV"/>
              </w:rPr>
              <w:t xml:space="preserve"> </w:t>
            </w:r>
            <w:r w:rsidRPr="0030041C">
              <w:rPr>
                <w:szCs w:val="24"/>
                <w:lang w:val="lv-LV"/>
              </w:rPr>
              <w:t xml:space="preserve">standarta produkta regulēšanas solījuma aktivizācijas veids, kuru var iniciēt tikai vienā noteiktā laika brīdī (plānotās aktivizācijas brīdī) attiecīgajā balansēšanas tirgus laika vienībā saskaņā </w:t>
            </w:r>
            <w:proofErr w:type="spellStart"/>
            <w:r w:rsidRPr="0030041C">
              <w:rPr>
                <w:szCs w:val="24"/>
                <w:lang w:val="lv-LV"/>
              </w:rPr>
              <w:t>mFRR</w:t>
            </w:r>
            <w:proofErr w:type="spellEnd"/>
            <w:r w:rsidRPr="0030041C">
              <w:rPr>
                <w:szCs w:val="24"/>
                <w:lang w:val="lv-LV"/>
              </w:rPr>
              <w:t xml:space="preserve"> IF</w:t>
            </w:r>
          </w:p>
        </w:tc>
      </w:tr>
      <w:tr w:rsidR="00F527BD" w14:paraId="543BB8DC" w14:textId="77777777" w:rsidTr="00F527BD">
        <w:tc>
          <w:tcPr>
            <w:tcW w:w="1276" w:type="dxa"/>
          </w:tcPr>
          <w:p w14:paraId="1411F726" w14:textId="77777777" w:rsidR="00422A2A" w:rsidRDefault="00422A2A" w:rsidP="005A43AF">
            <w:pPr>
              <w:pStyle w:val="Point0number"/>
              <w:numPr>
                <w:ilvl w:val="1"/>
                <w:numId w:val="35"/>
              </w:numPr>
              <w:spacing w:before="0" w:after="0"/>
              <w:ind w:left="451"/>
              <w:rPr>
                <w:b/>
                <w:bCs/>
                <w:szCs w:val="24"/>
                <w:lang w:val="en-US"/>
              </w:rPr>
            </w:pPr>
          </w:p>
        </w:tc>
        <w:tc>
          <w:tcPr>
            <w:tcW w:w="3890" w:type="dxa"/>
          </w:tcPr>
          <w:p w14:paraId="38125501" w14:textId="120CE74C" w:rsidR="00422A2A" w:rsidRPr="00941DA8" w:rsidRDefault="00422A2A" w:rsidP="00422A2A">
            <w:pPr>
              <w:pStyle w:val="Point0number"/>
              <w:numPr>
                <w:ilvl w:val="0"/>
                <w:numId w:val="0"/>
              </w:numPr>
              <w:spacing w:before="0" w:after="0"/>
              <w:ind w:left="91"/>
              <w:rPr>
                <w:b/>
                <w:bCs/>
                <w:szCs w:val="24"/>
                <w:lang w:val="en-US"/>
              </w:rPr>
            </w:pPr>
            <w:proofErr w:type="spellStart"/>
            <w:r>
              <w:rPr>
                <w:b/>
                <w:bCs/>
                <w:szCs w:val="24"/>
                <w:lang w:val="en-US"/>
              </w:rPr>
              <w:t>aFRR</w:t>
            </w:r>
            <w:proofErr w:type="spellEnd"/>
            <w:r>
              <w:rPr>
                <w:b/>
                <w:bCs/>
                <w:szCs w:val="24"/>
                <w:lang w:val="en-US"/>
              </w:rPr>
              <w:t xml:space="preserve"> activation – </w:t>
            </w:r>
            <w:r w:rsidRPr="002A63DC">
              <w:rPr>
                <w:szCs w:val="24"/>
                <w:lang w:val="en-US"/>
              </w:rPr>
              <w:t>term as defined in ancillary service agreement</w:t>
            </w:r>
          </w:p>
        </w:tc>
        <w:tc>
          <w:tcPr>
            <w:tcW w:w="3760" w:type="dxa"/>
          </w:tcPr>
          <w:p w14:paraId="3253CF12" w14:textId="00BC726E" w:rsidR="00422A2A" w:rsidRPr="0030041C" w:rsidRDefault="00422A2A" w:rsidP="005A43AF">
            <w:pPr>
              <w:pStyle w:val="Point0number"/>
              <w:numPr>
                <w:ilvl w:val="0"/>
                <w:numId w:val="0"/>
              </w:numPr>
              <w:tabs>
                <w:tab w:val="left" w:pos="720"/>
              </w:tabs>
              <w:spacing w:before="0" w:after="0"/>
              <w:ind w:left="-2" w:firstLine="2"/>
              <w:rPr>
                <w:b/>
                <w:bCs/>
                <w:szCs w:val="24"/>
                <w:lang w:val="lv-LV"/>
              </w:rPr>
            </w:pPr>
            <w:proofErr w:type="spellStart"/>
            <w:r w:rsidRPr="0030041C">
              <w:rPr>
                <w:b/>
                <w:bCs/>
                <w:szCs w:val="24"/>
                <w:lang w:val="lv-LV"/>
              </w:rPr>
              <w:t>aFRR</w:t>
            </w:r>
            <w:proofErr w:type="spellEnd"/>
            <w:r w:rsidRPr="0030041C">
              <w:rPr>
                <w:b/>
                <w:bCs/>
                <w:szCs w:val="24"/>
                <w:lang w:val="lv-LV"/>
              </w:rPr>
              <w:t xml:space="preserve"> aktivizācija- </w:t>
            </w:r>
            <w:r w:rsidRPr="0030041C">
              <w:rPr>
                <w:szCs w:val="24"/>
                <w:lang w:val="lv-LV"/>
              </w:rPr>
              <w:t xml:space="preserve">termins kā tas skaidrots Sistēmas </w:t>
            </w:r>
            <w:proofErr w:type="spellStart"/>
            <w:r w:rsidRPr="0030041C">
              <w:rPr>
                <w:szCs w:val="24"/>
                <w:lang w:val="lv-LV"/>
              </w:rPr>
              <w:t>palīgpakalpojuma</w:t>
            </w:r>
            <w:proofErr w:type="spellEnd"/>
            <w:r w:rsidRPr="0030041C">
              <w:rPr>
                <w:szCs w:val="24"/>
                <w:lang w:val="lv-LV"/>
              </w:rPr>
              <w:t xml:space="preserve"> līgumā</w:t>
            </w:r>
          </w:p>
        </w:tc>
      </w:tr>
      <w:tr w:rsidR="00F527BD" w14:paraId="76EB0C99" w14:textId="77777777" w:rsidTr="00F527BD">
        <w:tc>
          <w:tcPr>
            <w:tcW w:w="1276" w:type="dxa"/>
          </w:tcPr>
          <w:p w14:paraId="7BC40A1B" w14:textId="77777777" w:rsidR="00422A2A" w:rsidRPr="00941DA8" w:rsidRDefault="00422A2A" w:rsidP="005A43AF">
            <w:pPr>
              <w:pStyle w:val="Point0number"/>
              <w:numPr>
                <w:ilvl w:val="1"/>
                <w:numId w:val="35"/>
              </w:numPr>
              <w:spacing w:before="0" w:after="0"/>
              <w:ind w:left="451"/>
              <w:rPr>
                <w:b/>
                <w:bCs/>
                <w:szCs w:val="24"/>
                <w:lang w:val="en-US"/>
              </w:rPr>
            </w:pPr>
          </w:p>
        </w:tc>
        <w:tc>
          <w:tcPr>
            <w:tcW w:w="3890" w:type="dxa"/>
          </w:tcPr>
          <w:p w14:paraId="6D37BB1F" w14:textId="10432A8D" w:rsidR="00422A2A" w:rsidRPr="00941DA8" w:rsidRDefault="00422A2A" w:rsidP="00422A2A">
            <w:pPr>
              <w:pStyle w:val="Point0number"/>
              <w:numPr>
                <w:ilvl w:val="0"/>
                <w:numId w:val="0"/>
              </w:numPr>
              <w:spacing w:before="0" w:after="0"/>
              <w:ind w:left="91"/>
              <w:rPr>
                <w:b/>
                <w:bCs/>
                <w:szCs w:val="24"/>
                <w:lang w:val="en-US"/>
              </w:rPr>
            </w:pPr>
            <w:r w:rsidRPr="00941DA8">
              <w:rPr>
                <w:b/>
                <w:bCs/>
                <w:szCs w:val="24"/>
                <w:lang w:val="en-US"/>
              </w:rPr>
              <w:t xml:space="preserve">ISP </w:t>
            </w:r>
            <w:r w:rsidRPr="0030041C">
              <w:rPr>
                <w:b/>
                <w:bCs/>
                <w:szCs w:val="24"/>
                <w:lang w:val="en-US"/>
              </w:rPr>
              <w:t xml:space="preserve">- </w:t>
            </w:r>
            <w:r w:rsidRPr="00946CD0">
              <w:rPr>
                <w:szCs w:val="24"/>
                <w:lang w:val="en-US"/>
              </w:rPr>
              <w:t>Imbalance settlement period</w:t>
            </w:r>
            <w:r w:rsidRPr="00941DA8">
              <w:rPr>
                <w:b/>
                <w:bCs/>
                <w:szCs w:val="24"/>
                <w:lang w:val="en-US"/>
              </w:rPr>
              <w:t xml:space="preserve"> </w:t>
            </w:r>
          </w:p>
        </w:tc>
        <w:tc>
          <w:tcPr>
            <w:tcW w:w="3760" w:type="dxa"/>
          </w:tcPr>
          <w:p w14:paraId="0E1280FC" w14:textId="62F2F878" w:rsidR="00422A2A" w:rsidRPr="0030041C" w:rsidRDefault="00422A2A" w:rsidP="005A43AF">
            <w:pPr>
              <w:pStyle w:val="Point0number"/>
              <w:numPr>
                <w:ilvl w:val="0"/>
                <w:numId w:val="0"/>
              </w:numPr>
              <w:spacing w:before="0" w:after="0"/>
              <w:ind w:left="-2" w:firstLine="2"/>
              <w:rPr>
                <w:b/>
                <w:bCs/>
                <w:szCs w:val="24"/>
                <w:lang w:val="lv-LV"/>
              </w:rPr>
            </w:pPr>
            <w:r w:rsidRPr="0030041C">
              <w:rPr>
                <w:b/>
                <w:bCs/>
                <w:szCs w:val="24"/>
                <w:lang w:val="lv-LV"/>
              </w:rPr>
              <w:t xml:space="preserve">ISP - </w:t>
            </w:r>
            <w:proofErr w:type="spellStart"/>
            <w:r w:rsidRPr="0030041C">
              <w:rPr>
                <w:szCs w:val="24"/>
                <w:lang w:val="lv-LV"/>
              </w:rPr>
              <w:t>Nebalansa</w:t>
            </w:r>
            <w:proofErr w:type="spellEnd"/>
            <w:r w:rsidRPr="0030041C">
              <w:rPr>
                <w:szCs w:val="24"/>
                <w:lang w:val="lv-LV"/>
              </w:rPr>
              <w:t xml:space="preserve"> norēķinu periods</w:t>
            </w:r>
            <w:r w:rsidRPr="0030041C">
              <w:rPr>
                <w:b/>
                <w:bCs/>
                <w:szCs w:val="24"/>
                <w:lang w:val="lv-LV"/>
              </w:rPr>
              <w:t xml:space="preserve"> </w:t>
            </w:r>
          </w:p>
        </w:tc>
      </w:tr>
      <w:tr w:rsidR="00F527BD" w14:paraId="7D5F17A0" w14:textId="77777777" w:rsidTr="00F527BD">
        <w:tc>
          <w:tcPr>
            <w:tcW w:w="1276" w:type="dxa"/>
          </w:tcPr>
          <w:p w14:paraId="57E408EF" w14:textId="77777777" w:rsidR="00422A2A" w:rsidRDefault="00422A2A" w:rsidP="005A43AF">
            <w:pPr>
              <w:pStyle w:val="Point0number"/>
              <w:numPr>
                <w:ilvl w:val="1"/>
                <w:numId w:val="35"/>
              </w:numPr>
              <w:spacing w:before="0" w:after="0"/>
              <w:ind w:left="451"/>
              <w:rPr>
                <w:b/>
                <w:bCs/>
                <w:szCs w:val="24"/>
                <w:lang w:val="en-US"/>
              </w:rPr>
            </w:pPr>
          </w:p>
        </w:tc>
        <w:tc>
          <w:tcPr>
            <w:tcW w:w="3890" w:type="dxa"/>
          </w:tcPr>
          <w:p w14:paraId="1246F51C" w14:textId="2AC4B86D" w:rsidR="00422A2A" w:rsidRPr="00941DA8" w:rsidRDefault="00422A2A" w:rsidP="00422A2A">
            <w:pPr>
              <w:pStyle w:val="Point0number"/>
              <w:numPr>
                <w:ilvl w:val="0"/>
                <w:numId w:val="0"/>
              </w:numPr>
              <w:spacing w:before="0" w:after="0"/>
              <w:ind w:left="850" w:hanging="850"/>
              <w:rPr>
                <w:b/>
                <w:bCs/>
                <w:szCs w:val="24"/>
                <w:lang w:val="en-US"/>
              </w:rPr>
            </w:pPr>
            <w:r>
              <w:rPr>
                <w:b/>
                <w:bCs/>
                <w:szCs w:val="24"/>
                <w:lang w:val="en-US"/>
              </w:rPr>
              <w:t xml:space="preserve">RNV - </w:t>
            </w:r>
            <w:r w:rsidRPr="0030041C">
              <w:rPr>
                <w:szCs w:val="24"/>
                <w:lang w:val="en-US"/>
              </w:rPr>
              <w:t>a reserve providing unit or reserve providing group capable of supplying a balancing service;</w:t>
            </w:r>
          </w:p>
        </w:tc>
        <w:tc>
          <w:tcPr>
            <w:tcW w:w="3760" w:type="dxa"/>
          </w:tcPr>
          <w:p w14:paraId="75471F5C" w14:textId="77777777" w:rsidR="00422A2A" w:rsidRPr="0030041C" w:rsidRDefault="00422A2A" w:rsidP="005A43AF">
            <w:pPr>
              <w:pStyle w:val="Point0number"/>
              <w:numPr>
                <w:ilvl w:val="0"/>
                <w:numId w:val="0"/>
              </w:numPr>
              <w:spacing w:before="0" w:after="0"/>
              <w:ind w:left="-2" w:firstLine="2"/>
              <w:rPr>
                <w:szCs w:val="24"/>
                <w:lang w:val="lv-LV"/>
              </w:rPr>
            </w:pPr>
            <w:r w:rsidRPr="0030041C">
              <w:rPr>
                <w:b/>
                <w:bCs/>
                <w:szCs w:val="24"/>
                <w:lang w:val="lv-LV"/>
              </w:rPr>
              <w:t xml:space="preserve">RNV – </w:t>
            </w:r>
            <w:r w:rsidRPr="0030041C">
              <w:rPr>
                <w:szCs w:val="24"/>
                <w:lang w:val="lv-LV"/>
              </w:rPr>
              <w:t xml:space="preserve">rezervju </w:t>
            </w:r>
            <w:proofErr w:type="spellStart"/>
            <w:r w:rsidRPr="0030041C">
              <w:rPr>
                <w:szCs w:val="24"/>
                <w:lang w:val="lv-LV"/>
              </w:rPr>
              <w:t>piegādātājvienība</w:t>
            </w:r>
            <w:proofErr w:type="spellEnd"/>
            <w:r w:rsidRPr="0030041C">
              <w:rPr>
                <w:szCs w:val="24"/>
                <w:lang w:val="lv-LV"/>
              </w:rPr>
              <w:t xml:space="preserve"> vai rezervju </w:t>
            </w:r>
            <w:proofErr w:type="spellStart"/>
            <w:r w:rsidRPr="0030041C">
              <w:rPr>
                <w:szCs w:val="24"/>
                <w:lang w:val="lv-LV"/>
              </w:rPr>
              <w:t>piegādātājgrupa</w:t>
            </w:r>
            <w:proofErr w:type="spellEnd"/>
            <w:r w:rsidRPr="0030041C">
              <w:rPr>
                <w:szCs w:val="24"/>
                <w:lang w:val="lv-LV"/>
              </w:rPr>
              <w:t>, kas var nodrošināt regulēšanas pakalpojuma piegādi;</w:t>
            </w:r>
          </w:p>
          <w:p w14:paraId="4735FE06" w14:textId="448AF492" w:rsidR="00422A2A" w:rsidRPr="0030041C" w:rsidRDefault="00422A2A" w:rsidP="005A43AF">
            <w:pPr>
              <w:pStyle w:val="Point0number"/>
              <w:numPr>
                <w:ilvl w:val="0"/>
                <w:numId w:val="0"/>
              </w:numPr>
              <w:spacing w:before="0" w:after="0"/>
              <w:ind w:left="-2" w:firstLine="2"/>
              <w:rPr>
                <w:b/>
                <w:bCs/>
                <w:szCs w:val="24"/>
                <w:lang w:val="lv-LV"/>
              </w:rPr>
            </w:pPr>
          </w:p>
        </w:tc>
      </w:tr>
      <w:tr w:rsidR="00F527BD" w14:paraId="451BF6F8" w14:textId="77777777" w:rsidTr="00F527BD">
        <w:tc>
          <w:tcPr>
            <w:tcW w:w="1276" w:type="dxa"/>
          </w:tcPr>
          <w:p w14:paraId="0B6C59A1" w14:textId="5878771C" w:rsidR="00422A2A" w:rsidRPr="00941DA8" w:rsidRDefault="00422A2A" w:rsidP="005A43AF">
            <w:pPr>
              <w:pStyle w:val="Point0number"/>
              <w:numPr>
                <w:ilvl w:val="0"/>
                <w:numId w:val="0"/>
              </w:numPr>
              <w:tabs>
                <w:tab w:val="left" w:pos="720"/>
              </w:tabs>
              <w:spacing w:before="0" w:after="0"/>
              <w:jc w:val="center"/>
              <w:rPr>
                <w:rFonts w:eastAsia="Times New Roman"/>
                <w:b/>
                <w:bCs/>
                <w:szCs w:val="24"/>
                <w:lang w:val="en-US"/>
              </w:rPr>
            </w:pPr>
            <w:r>
              <w:rPr>
                <w:rFonts w:eastAsia="Times New Roman"/>
                <w:b/>
                <w:bCs/>
                <w:szCs w:val="24"/>
                <w:lang w:val="en-US"/>
              </w:rPr>
              <w:t>2.</w:t>
            </w:r>
          </w:p>
        </w:tc>
        <w:tc>
          <w:tcPr>
            <w:tcW w:w="3890" w:type="dxa"/>
          </w:tcPr>
          <w:p w14:paraId="461B282C" w14:textId="00565DFA" w:rsidR="00422A2A" w:rsidRPr="00941DA8" w:rsidRDefault="00422A2A" w:rsidP="005A43AF">
            <w:pPr>
              <w:pStyle w:val="Point0number"/>
              <w:numPr>
                <w:ilvl w:val="0"/>
                <w:numId w:val="0"/>
              </w:numPr>
              <w:tabs>
                <w:tab w:val="left" w:pos="720"/>
              </w:tabs>
              <w:spacing w:before="0" w:after="0"/>
              <w:jc w:val="center"/>
              <w:rPr>
                <w:rFonts w:eastAsia="Times New Roman"/>
                <w:b/>
                <w:bCs/>
                <w:szCs w:val="24"/>
                <w:lang w:val="en-US"/>
              </w:rPr>
            </w:pPr>
            <w:r w:rsidRPr="00941DA8">
              <w:rPr>
                <w:rFonts w:eastAsia="Times New Roman"/>
                <w:b/>
                <w:bCs/>
                <w:szCs w:val="24"/>
                <w:lang w:val="en-US"/>
              </w:rPr>
              <w:t>Rights and obligations of the TSO and market participants regards organization and operation of balancing market</w:t>
            </w:r>
          </w:p>
        </w:tc>
        <w:tc>
          <w:tcPr>
            <w:tcW w:w="3760" w:type="dxa"/>
          </w:tcPr>
          <w:p w14:paraId="1AE10225" w14:textId="0D1BC07E" w:rsidR="00422A2A" w:rsidRPr="00941DA8" w:rsidRDefault="00422A2A" w:rsidP="005A43AF">
            <w:pPr>
              <w:pStyle w:val="Point0number"/>
              <w:numPr>
                <w:ilvl w:val="0"/>
                <w:numId w:val="0"/>
              </w:numPr>
              <w:tabs>
                <w:tab w:val="left" w:pos="720"/>
              </w:tabs>
              <w:spacing w:before="0" w:after="0"/>
              <w:jc w:val="center"/>
              <w:rPr>
                <w:rFonts w:eastAsia="Times New Roman"/>
                <w:b/>
                <w:szCs w:val="24"/>
                <w:lang w:val="lv-LV"/>
              </w:rPr>
            </w:pPr>
            <w:r w:rsidRPr="00941DA8">
              <w:rPr>
                <w:rFonts w:eastAsia="Times New Roman"/>
                <w:b/>
                <w:bCs/>
                <w:szCs w:val="24"/>
                <w:lang w:val="lv-LV"/>
              </w:rPr>
              <w:t>Tirgu dalībnieku un PSO tiesību un pienākumu kopums balansēšanas tirgus organizēšanas un darbības nodrošināšanai</w:t>
            </w:r>
          </w:p>
        </w:tc>
      </w:tr>
      <w:tr w:rsidR="00F527BD" w14:paraId="03EC417A" w14:textId="77777777" w:rsidTr="00F527BD">
        <w:tc>
          <w:tcPr>
            <w:tcW w:w="1276" w:type="dxa"/>
          </w:tcPr>
          <w:p w14:paraId="4B0D4484" w14:textId="77777777" w:rsidR="00422A2A" w:rsidRPr="00941DA8" w:rsidRDefault="00422A2A" w:rsidP="005A43AF">
            <w:pPr>
              <w:pStyle w:val="ListParagraph"/>
              <w:numPr>
                <w:ilvl w:val="1"/>
                <w:numId w:val="7"/>
              </w:numPr>
              <w:contextualSpacing w:val="0"/>
              <w:jc w:val="both"/>
              <w:rPr>
                <w:rFonts w:ascii="Times New Roman" w:hAnsi="Times New Roman" w:cs="Times New Roman"/>
                <w:sz w:val="24"/>
                <w:szCs w:val="24"/>
                <w:lang w:val="en-US"/>
              </w:rPr>
            </w:pPr>
          </w:p>
        </w:tc>
        <w:tc>
          <w:tcPr>
            <w:tcW w:w="3890" w:type="dxa"/>
          </w:tcPr>
          <w:p w14:paraId="3BC8C32E" w14:textId="56B724D8" w:rsidR="00422A2A" w:rsidRPr="00422A2A" w:rsidRDefault="00422A2A" w:rsidP="00422A2A">
            <w:pPr>
              <w:ind w:left="32"/>
              <w:jc w:val="both"/>
              <w:rPr>
                <w:rFonts w:ascii="Times New Roman" w:hAnsi="Times New Roman" w:cs="Times New Roman"/>
                <w:sz w:val="24"/>
                <w:szCs w:val="24"/>
                <w:lang w:val="en-US"/>
              </w:rPr>
            </w:pPr>
            <w:r w:rsidRPr="00422A2A">
              <w:rPr>
                <w:rFonts w:ascii="Times New Roman" w:hAnsi="Times New Roman" w:cs="Times New Roman"/>
                <w:sz w:val="24"/>
                <w:szCs w:val="24"/>
                <w:lang w:val="en-US"/>
              </w:rPr>
              <w:t xml:space="preserve">The TSO in its control shall organize and operate balancing market, while complying with the requirements of the Balancing market rules. Balancing market consists of </w:t>
            </w:r>
            <w:proofErr w:type="spellStart"/>
            <w:r w:rsidRPr="00422A2A">
              <w:rPr>
                <w:rFonts w:ascii="Times New Roman" w:hAnsi="Times New Roman" w:cs="Times New Roman"/>
                <w:sz w:val="24"/>
                <w:szCs w:val="24"/>
                <w:lang w:val="en-US"/>
              </w:rPr>
              <w:t>aFRR</w:t>
            </w:r>
            <w:proofErr w:type="spellEnd"/>
            <w:r w:rsidRPr="00422A2A">
              <w:rPr>
                <w:rFonts w:ascii="Times New Roman" w:hAnsi="Times New Roman" w:cs="Times New Roman"/>
                <w:sz w:val="24"/>
                <w:szCs w:val="24"/>
                <w:lang w:val="en-US"/>
              </w:rPr>
              <w:t xml:space="preserve"> and </w:t>
            </w:r>
            <w:proofErr w:type="spellStart"/>
            <w:r w:rsidRPr="00422A2A">
              <w:rPr>
                <w:rFonts w:ascii="Times New Roman" w:hAnsi="Times New Roman" w:cs="Times New Roman"/>
                <w:sz w:val="24"/>
                <w:szCs w:val="24"/>
                <w:lang w:val="en-US"/>
              </w:rPr>
              <w:t>mFRR</w:t>
            </w:r>
            <w:proofErr w:type="spellEnd"/>
            <w:r w:rsidRPr="00422A2A">
              <w:rPr>
                <w:rFonts w:ascii="Times New Roman" w:hAnsi="Times New Roman" w:cs="Times New Roman"/>
                <w:sz w:val="24"/>
                <w:szCs w:val="24"/>
                <w:lang w:val="en-US"/>
              </w:rPr>
              <w:t xml:space="preserve"> balancing energy market.</w:t>
            </w:r>
          </w:p>
        </w:tc>
        <w:tc>
          <w:tcPr>
            <w:tcW w:w="3760" w:type="dxa"/>
          </w:tcPr>
          <w:p w14:paraId="1FF48DAF" w14:textId="7BEA3EF4"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PSO savā kontroles zonā organizē un nodrošina balansēšanas tirgus darbību, vienlaikus ievērojot Balansēšanas tirgus noteikumu prasības. Balansēšanas tirgus ietver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un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balansēšanas tirgus.</w:t>
            </w:r>
          </w:p>
        </w:tc>
      </w:tr>
      <w:tr w:rsidR="00F527BD" w14:paraId="1755CC12" w14:textId="77777777" w:rsidTr="00F527BD">
        <w:tc>
          <w:tcPr>
            <w:tcW w:w="1276" w:type="dxa"/>
          </w:tcPr>
          <w:p w14:paraId="41F1C546" w14:textId="069060B5" w:rsidR="00422A2A" w:rsidRPr="00422A2A" w:rsidRDefault="00422A2A" w:rsidP="00422A2A">
            <w:pPr>
              <w:pStyle w:val="ListParagraph"/>
              <w:numPr>
                <w:ilvl w:val="1"/>
                <w:numId w:val="7"/>
              </w:numPr>
              <w:contextualSpacing w:val="0"/>
              <w:jc w:val="both"/>
              <w:rPr>
                <w:rFonts w:ascii="Times New Roman" w:hAnsi="Times New Roman" w:cs="Times New Roman"/>
                <w:sz w:val="24"/>
                <w:szCs w:val="24"/>
                <w:lang w:val="en-US"/>
              </w:rPr>
            </w:pPr>
          </w:p>
        </w:tc>
        <w:tc>
          <w:tcPr>
            <w:tcW w:w="3890" w:type="dxa"/>
          </w:tcPr>
          <w:p w14:paraId="1998A310" w14:textId="570A51D2" w:rsidR="00422A2A" w:rsidRPr="00941DA8" w:rsidRDefault="00422A2A" w:rsidP="00422A2A">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The TSO as a Connecting TSO share all available </w:t>
            </w: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standard </w:t>
            </w:r>
            <w:r w:rsidRPr="00941DA8">
              <w:rPr>
                <w:rFonts w:ascii="Times New Roman" w:hAnsi="Times New Roman" w:cs="Times New Roman"/>
                <w:lang w:val="en-US"/>
              </w:rPr>
              <w:t xml:space="preserve">balancing </w:t>
            </w:r>
            <w:r>
              <w:rPr>
                <w:rFonts w:ascii="Times New Roman" w:hAnsi="Times New Roman" w:cs="Times New Roman"/>
                <w:lang w:val="en-US"/>
              </w:rPr>
              <w:t>product</w:t>
            </w:r>
            <w:r w:rsidRPr="00941DA8">
              <w:rPr>
                <w:rFonts w:ascii="Times New Roman" w:hAnsi="Times New Roman" w:cs="Times New Roman"/>
                <w:lang w:val="en-US"/>
              </w:rPr>
              <w:t xml:space="preserve"> bids for activation by MARI accordance with </w:t>
            </w:r>
            <w:proofErr w:type="spellStart"/>
            <w:r w:rsidRPr="00941DA8">
              <w:rPr>
                <w:rFonts w:ascii="Times New Roman" w:hAnsi="Times New Roman" w:cs="Times New Roman"/>
                <w:lang w:val="en-US"/>
              </w:rPr>
              <w:t>mFRR</w:t>
            </w:r>
            <w:proofErr w:type="spellEnd"/>
            <w:r w:rsidRPr="00941DA8">
              <w:rPr>
                <w:rFonts w:ascii="Times New Roman" w:hAnsi="Times New Roman" w:cs="Times New Roman"/>
                <w:lang w:val="en-US"/>
              </w:rPr>
              <w:t xml:space="preserve"> IF. </w:t>
            </w:r>
          </w:p>
        </w:tc>
        <w:tc>
          <w:tcPr>
            <w:tcW w:w="3760" w:type="dxa"/>
          </w:tcPr>
          <w:p w14:paraId="0FB46A11" w14:textId="52D4FE82"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PSO kā Pieslēdzošais PSO dalās ar visiem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regulēšanas produkta solījumiem aktivizēšanai MARI platformas ietvaros saskaņā ar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IF. </w:t>
            </w:r>
          </w:p>
        </w:tc>
      </w:tr>
      <w:tr w:rsidR="00F527BD" w14:paraId="681721CE" w14:textId="77777777" w:rsidTr="00F527BD">
        <w:tc>
          <w:tcPr>
            <w:tcW w:w="1276" w:type="dxa"/>
          </w:tcPr>
          <w:p w14:paraId="27EBE5D2" w14:textId="39957AD3" w:rsidR="00422A2A" w:rsidRPr="00422A2A" w:rsidRDefault="00422A2A" w:rsidP="00422A2A">
            <w:pPr>
              <w:pStyle w:val="ListParagraph"/>
              <w:numPr>
                <w:ilvl w:val="1"/>
                <w:numId w:val="7"/>
              </w:numPr>
              <w:contextualSpacing w:val="0"/>
              <w:jc w:val="both"/>
              <w:rPr>
                <w:rFonts w:ascii="Times New Roman" w:hAnsi="Times New Roman" w:cs="Times New Roman"/>
                <w:sz w:val="24"/>
                <w:szCs w:val="24"/>
                <w:lang w:val="en-US"/>
              </w:rPr>
            </w:pPr>
          </w:p>
        </w:tc>
        <w:tc>
          <w:tcPr>
            <w:tcW w:w="3890" w:type="dxa"/>
          </w:tcPr>
          <w:p w14:paraId="0F35EA38" w14:textId="7329DC0D" w:rsidR="00422A2A" w:rsidRPr="00941DA8" w:rsidRDefault="00422A2A" w:rsidP="00422A2A">
            <w:pPr>
              <w:pStyle w:val="Caption"/>
              <w:spacing w:before="0"/>
              <w:rPr>
                <w:rFonts w:ascii="Times New Roman" w:hAnsi="Times New Roman" w:cs="Times New Roman"/>
                <w:lang w:val="en-US"/>
              </w:rPr>
            </w:pPr>
            <w:r>
              <w:rPr>
                <w:rFonts w:ascii="Times New Roman" w:hAnsi="Times New Roman" w:cs="Times New Roman"/>
                <w:lang w:val="en-US"/>
              </w:rPr>
              <w:t>If TSO joins PICASSO platform, t</w:t>
            </w:r>
            <w:r w:rsidRPr="0024114F">
              <w:rPr>
                <w:rFonts w:ascii="Times New Roman" w:hAnsi="Times New Roman" w:cs="Times New Roman"/>
                <w:lang w:val="en-US"/>
              </w:rPr>
              <w:t xml:space="preserve">he TSO as a Connecting TSO share all available </w:t>
            </w:r>
            <w:proofErr w:type="spellStart"/>
            <w:r>
              <w:rPr>
                <w:rFonts w:ascii="Times New Roman" w:hAnsi="Times New Roman" w:cs="Times New Roman"/>
                <w:lang w:val="en-US"/>
              </w:rPr>
              <w:t>aFRR</w:t>
            </w:r>
            <w:proofErr w:type="spellEnd"/>
            <w:r>
              <w:rPr>
                <w:rFonts w:ascii="Times New Roman" w:hAnsi="Times New Roman" w:cs="Times New Roman"/>
                <w:lang w:val="en-US"/>
              </w:rPr>
              <w:t xml:space="preserve"> standard </w:t>
            </w:r>
            <w:r w:rsidRPr="0024114F">
              <w:rPr>
                <w:rFonts w:ascii="Times New Roman" w:hAnsi="Times New Roman" w:cs="Times New Roman"/>
                <w:lang w:val="en-US"/>
              </w:rPr>
              <w:t xml:space="preserve">balancing </w:t>
            </w:r>
            <w:r>
              <w:rPr>
                <w:rFonts w:ascii="Times New Roman" w:hAnsi="Times New Roman" w:cs="Times New Roman"/>
                <w:lang w:val="en-US"/>
              </w:rPr>
              <w:t>p</w:t>
            </w:r>
            <w:r w:rsidRPr="0024114F">
              <w:rPr>
                <w:rFonts w:ascii="Times New Roman" w:hAnsi="Times New Roman" w:cs="Times New Roman"/>
                <w:lang w:val="en-US"/>
              </w:rPr>
              <w:t xml:space="preserve">roduct bids for activation by </w:t>
            </w:r>
            <w:r>
              <w:rPr>
                <w:rFonts w:ascii="Times New Roman" w:hAnsi="Times New Roman" w:cs="Times New Roman"/>
                <w:lang w:val="en-US"/>
              </w:rPr>
              <w:t>PICASSO</w:t>
            </w:r>
            <w:r w:rsidRPr="0024114F">
              <w:rPr>
                <w:rFonts w:ascii="Times New Roman" w:hAnsi="Times New Roman" w:cs="Times New Roman"/>
                <w:lang w:val="en-US"/>
              </w:rPr>
              <w:t xml:space="preserve"> accordance with </w:t>
            </w:r>
            <w:proofErr w:type="spellStart"/>
            <w:r>
              <w:rPr>
                <w:rFonts w:ascii="Times New Roman" w:hAnsi="Times New Roman" w:cs="Times New Roman"/>
                <w:lang w:val="en-US"/>
              </w:rPr>
              <w:t>a</w:t>
            </w:r>
            <w:r w:rsidRPr="0024114F">
              <w:rPr>
                <w:rFonts w:ascii="Times New Roman" w:hAnsi="Times New Roman" w:cs="Times New Roman"/>
                <w:lang w:val="en-US"/>
              </w:rPr>
              <w:t>FRR</w:t>
            </w:r>
            <w:proofErr w:type="spellEnd"/>
            <w:r>
              <w:rPr>
                <w:rFonts w:ascii="Times New Roman" w:hAnsi="Times New Roman" w:cs="Times New Roman"/>
                <w:lang w:val="en-US"/>
              </w:rPr>
              <w:t xml:space="preserve"> IF.</w:t>
            </w:r>
          </w:p>
        </w:tc>
        <w:tc>
          <w:tcPr>
            <w:tcW w:w="3760" w:type="dxa"/>
          </w:tcPr>
          <w:p w14:paraId="2267182C" w14:textId="2D982CC1"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Ja PSO pievienojies PICASSO platformai, PSO kā Pieslēdzošais PSO dalās ar visiem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regulēšanas produkta solījumiem aktivizēšanas PICASSO platformas ietvaros saskaņā ar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IF.</w:t>
            </w:r>
          </w:p>
        </w:tc>
      </w:tr>
      <w:tr w:rsidR="00F527BD" w14:paraId="504EA1CB" w14:textId="77777777" w:rsidTr="00F527BD">
        <w:tc>
          <w:tcPr>
            <w:tcW w:w="1276" w:type="dxa"/>
          </w:tcPr>
          <w:p w14:paraId="66BF7BC4" w14:textId="246DFF2D" w:rsidR="00422A2A" w:rsidRPr="00422A2A" w:rsidRDefault="00422A2A" w:rsidP="00422A2A">
            <w:pPr>
              <w:pStyle w:val="ListParagraph"/>
              <w:numPr>
                <w:ilvl w:val="1"/>
                <w:numId w:val="7"/>
              </w:numPr>
              <w:contextualSpacing w:val="0"/>
              <w:jc w:val="both"/>
              <w:rPr>
                <w:rFonts w:ascii="Times New Roman" w:hAnsi="Times New Roman" w:cs="Times New Roman"/>
                <w:sz w:val="24"/>
                <w:szCs w:val="24"/>
                <w:lang w:val="en-US"/>
              </w:rPr>
            </w:pPr>
          </w:p>
        </w:tc>
        <w:tc>
          <w:tcPr>
            <w:tcW w:w="3890" w:type="dxa"/>
          </w:tcPr>
          <w:p w14:paraId="014B688F" w14:textId="1FDC6FF3" w:rsidR="00422A2A" w:rsidRPr="00422A2A" w:rsidRDefault="00422A2A" w:rsidP="00422A2A">
            <w:pPr>
              <w:ind w:left="32"/>
              <w:jc w:val="both"/>
              <w:rPr>
                <w:rFonts w:ascii="Times New Roman" w:eastAsia="SimSun" w:hAnsi="Times New Roman" w:cs="Times New Roman"/>
                <w:kern w:val="0"/>
                <w:sz w:val="24"/>
                <w:szCs w:val="24"/>
                <w:lang w:val="en-US" w:eastAsia="ar-SA"/>
                <w14:ligatures w14:val="none"/>
              </w:rPr>
            </w:pPr>
            <w:r w:rsidRPr="00422A2A">
              <w:rPr>
                <w:rFonts w:ascii="Times New Roman" w:eastAsia="SimSun" w:hAnsi="Times New Roman" w:cs="Times New Roman"/>
                <w:kern w:val="0"/>
                <w:sz w:val="24"/>
                <w:szCs w:val="24"/>
                <w:lang w:val="en-US" w:eastAsia="ar-SA"/>
                <w14:ligatures w14:val="none"/>
              </w:rPr>
              <w:t xml:space="preserve">The TSO during any kind of outages with MARI or PICASSO or in case of unsatisfactory market results in terms of system needs </w:t>
            </w:r>
            <w:proofErr w:type="gramStart"/>
            <w:r w:rsidRPr="00422A2A">
              <w:rPr>
                <w:rFonts w:ascii="Times New Roman" w:eastAsia="SimSun" w:hAnsi="Times New Roman" w:cs="Times New Roman"/>
                <w:kern w:val="0"/>
                <w:sz w:val="24"/>
                <w:szCs w:val="24"/>
                <w:lang w:val="en-US" w:eastAsia="ar-SA"/>
                <w14:ligatures w14:val="none"/>
              </w:rPr>
              <w:t>in order to</w:t>
            </w:r>
            <w:proofErr w:type="gramEnd"/>
            <w:r w:rsidRPr="00422A2A">
              <w:rPr>
                <w:rFonts w:ascii="Times New Roman" w:eastAsia="SimSun" w:hAnsi="Times New Roman" w:cs="Times New Roman"/>
                <w:kern w:val="0"/>
                <w:sz w:val="24"/>
                <w:szCs w:val="24"/>
                <w:lang w:val="en-US" w:eastAsia="ar-SA"/>
                <w14:ligatures w14:val="none"/>
              </w:rPr>
              <w:t xml:space="preserve"> maintain secure and stable operation of its control area and to minimize ACE in the region may cooperate with neighboring TSOs in accordance with TSOs cooperation agreements. In this case TSO share </w:t>
            </w:r>
            <w:r w:rsidRPr="00422A2A">
              <w:rPr>
                <w:rFonts w:ascii="Times New Roman" w:hAnsi="Times New Roman" w:cs="Times New Roman"/>
                <w:sz w:val="24"/>
                <w:szCs w:val="24"/>
                <w:lang w:val="en-US"/>
              </w:rPr>
              <w:t xml:space="preserve">available </w:t>
            </w:r>
            <w:proofErr w:type="spellStart"/>
            <w:r w:rsidRPr="00422A2A">
              <w:rPr>
                <w:rFonts w:ascii="Times New Roman" w:hAnsi="Times New Roman" w:cs="Times New Roman"/>
                <w:sz w:val="24"/>
                <w:szCs w:val="24"/>
                <w:lang w:val="en-US"/>
              </w:rPr>
              <w:t>mFRR</w:t>
            </w:r>
            <w:proofErr w:type="spellEnd"/>
            <w:r w:rsidRPr="00422A2A">
              <w:rPr>
                <w:rFonts w:ascii="Times New Roman" w:hAnsi="Times New Roman" w:cs="Times New Roman"/>
                <w:sz w:val="24"/>
                <w:szCs w:val="24"/>
                <w:lang w:val="en-US"/>
              </w:rPr>
              <w:t xml:space="preserve"> and </w:t>
            </w:r>
            <w:proofErr w:type="spellStart"/>
            <w:r w:rsidRPr="00422A2A">
              <w:rPr>
                <w:rFonts w:ascii="Times New Roman" w:hAnsi="Times New Roman" w:cs="Times New Roman"/>
                <w:sz w:val="24"/>
                <w:szCs w:val="24"/>
                <w:lang w:val="en-US"/>
              </w:rPr>
              <w:t>aFRR</w:t>
            </w:r>
            <w:proofErr w:type="spellEnd"/>
            <w:r w:rsidRPr="00422A2A">
              <w:rPr>
                <w:rFonts w:ascii="Times New Roman" w:hAnsi="Times New Roman" w:cs="Times New Roman"/>
                <w:sz w:val="24"/>
                <w:szCs w:val="24"/>
                <w:lang w:val="en-US"/>
              </w:rPr>
              <w:t xml:space="preserve"> </w:t>
            </w:r>
            <w:proofErr w:type="spellStart"/>
            <w:r w:rsidRPr="00422A2A">
              <w:rPr>
                <w:rFonts w:ascii="Times New Roman" w:hAnsi="Times New Roman" w:cs="Times New Roman"/>
                <w:sz w:val="24"/>
                <w:szCs w:val="24"/>
                <w:lang w:val="en-US"/>
              </w:rPr>
              <w:t>stndart</w:t>
            </w:r>
            <w:proofErr w:type="spellEnd"/>
            <w:r w:rsidRPr="00422A2A">
              <w:rPr>
                <w:rFonts w:ascii="Times New Roman" w:hAnsi="Times New Roman" w:cs="Times New Roman"/>
                <w:sz w:val="24"/>
                <w:szCs w:val="24"/>
                <w:lang w:val="en-US"/>
              </w:rPr>
              <w:t xml:space="preserve"> balancing product bids for activation also to TSOs with whom </w:t>
            </w:r>
            <w:r w:rsidRPr="00422A2A">
              <w:rPr>
                <w:rFonts w:ascii="Times New Roman" w:hAnsi="Times New Roman" w:cs="Times New Roman"/>
                <w:sz w:val="24"/>
                <w:szCs w:val="24"/>
                <w:lang w:val="en-US"/>
              </w:rPr>
              <w:lastRenderedPageBreak/>
              <w:t>a cooperation agreement has been concluded.</w:t>
            </w:r>
            <w:r w:rsidRPr="00422A2A">
              <w:rPr>
                <w:rFonts w:ascii="Times New Roman" w:eastAsia="SimSun" w:hAnsi="Times New Roman" w:cs="Times New Roman"/>
                <w:kern w:val="0"/>
                <w:sz w:val="24"/>
                <w:szCs w:val="24"/>
                <w:lang w:val="en-US" w:eastAsia="ar-SA"/>
                <w14:ligatures w14:val="none"/>
              </w:rPr>
              <w:t xml:space="preserve"> </w:t>
            </w:r>
          </w:p>
        </w:tc>
        <w:tc>
          <w:tcPr>
            <w:tcW w:w="3760" w:type="dxa"/>
          </w:tcPr>
          <w:p w14:paraId="44F6EF7F" w14:textId="450133DF" w:rsidR="00422A2A" w:rsidRPr="0030041C" w:rsidRDefault="00422A2A" w:rsidP="005A43AF">
            <w:pPr>
              <w:jc w:val="both"/>
              <w:rPr>
                <w:rFonts w:ascii="Times New Roman" w:eastAsia="SimSun" w:hAnsi="Times New Roman" w:cs="Times New Roman"/>
                <w:kern w:val="0"/>
                <w:sz w:val="24"/>
                <w:szCs w:val="24"/>
                <w:lang w:eastAsia="ar-SA"/>
                <w14:ligatures w14:val="none"/>
              </w:rPr>
            </w:pPr>
            <w:r w:rsidRPr="0030041C">
              <w:rPr>
                <w:rFonts w:ascii="Times New Roman" w:eastAsia="SimSun" w:hAnsi="Times New Roman" w:cs="Times New Roman"/>
                <w:kern w:val="0"/>
                <w:sz w:val="24"/>
                <w:szCs w:val="24"/>
                <w:lang w:eastAsia="ar-SA"/>
                <w14:ligatures w14:val="none"/>
              </w:rPr>
              <w:lastRenderedPageBreak/>
              <w:t xml:space="preserve">Jebkādos MARI vai PICASSO platformas nepieejamības gadījumos vai neapmierinošu tirgus rezultātu gadījumā PSO sistēmas vajadzībām, lai uzturētu drošu un stabilu savas kontroles zonas darbību un samazinātu ACE reģionā, var sadarboties ar kaimiņu PSO saskaņā ar PSO sadarbības līgumiem. Šajā gadījumā PSO dalās ar pieejamiem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un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regulēšanas produkta </w:t>
            </w:r>
            <w:r w:rsidRPr="0030041C">
              <w:rPr>
                <w:rFonts w:ascii="Times New Roman" w:eastAsia="SimSun" w:hAnsi="Times New Roman" w:cs="Times New Roman"/>
                <w:kern w:val="0"/>
                <w:sz w:val="24"/>
                <w:szCs w:val="24"/>
                <w:lang w:eastAsia="ar-SA"/>
                <w14:ligatures w14:val="none"/>
              </w:rPr>
              <w:t xml:space="preserve">solījumiem </w:t>
            </w:r>
            <w:r w:rsidRPr="0030041C">
              <w:rPr>
                <w:rFonts w:ascii="Times New Roman" w:eastAsia="SimSun" w:hAnsi="Times New Roman" w:cs="Times New Roman"/>
                <w:kern w:val="0"/>
                <w:sz w:val="24"/>
                <w:szCs w:val="24"/>
                <w:lang w:eastAsia="ar-SA"/>
                <w14:ligatures w14:val="none"/>
              </w:rPr>
              <w:lastRenderedPageBreak/>
              <w:t>aktivizēšanai arī ar PSO, ar kuriem ir noslēgts sadarbības līgums.</w:t>
            </w:r>
          </w:p>
        </w:tc>
      </w:tr>
      <w:tr w:rsidR="00F527BD" w14:paraId="62ED29FF" w14:textId="77777777" w:rsidTr="00F527BD">
        <w:tc>
          <w:tcPr>
            <w:tcW w:w="1276" w:type="dxa"/>
          </w:tcPr>
          <w:p w14:paraId="0FD05F57" w14:textId="7D8274B0" w:rsidR="00422A2A" w:rsidRPr="00422A2A" w:rsidRDefault="00422A2A" w:rsidP="00422A2A">
            <w:pPr>
              <w:pStyle w:val="ListParagraph"/>
              <w:numPr>
                <w:ilvl w:val="1"/>
                <w:numId w:val="7"/>
              </w:numPr>
              <w:contextualSpacing w:val="0"/>
              <w:jc w:val="both"/>
              <w:rPr>
                <w:rFonts w:ascii="Times New Roman" w:eastAsia="SimSun" w:hAnsi="Times New Roman" w:cs="Times New Roman"/>
                <w:kern w:val="0"/>
                <w:sz w:val="24"/>
                <w:szCs w:val="24"/>
                <w:lang w:val="en-US" w:eastAsia="ar-SA"/>
                <w14:ligatures w14:val="none"/>
              </w:rPr>
            </w:pPr>
          </w:p>
        </w:tc>
        <w:tc>
          <w:tcPr>
            <w:tcW w:w="3890" w:type="dxa"/>
          </w:tcPr>
          <w:p w14:paraId="73A1D910" w14:textId="2728554A" w:rsidR="00422A2A" w:rsidRPr="00422A2A" w:rsidRDefault="00422A2A" w:rsidP="00422A2A">
            <w:pPr>
              <w:jc w:val="both"/>
              <w:rPr>
                <w:rFonts w:ascii="Times New Roman" w:eastAsia="Times New Roman" w:hAnsi="Times New Roman" w:cs="Times New Roman"/>
                <w:sz w:val="24"/>
                <w:szCs w:val="24"/>
                <w:lang w:val="en-US"/>
              </w:rPr>
            </w:pPr>
            <w:r w:rsidRPr="00422A2A">
              <w:rPr>
                <w:rFonts w:ascii="Times New Roman" w:eastAsia="SimSun" w:hAnsi="Times New Roman" w:cs="Times New Roman"/>
                <w:kern w:val="0"/>
                <w:sz w:val="24"/>
                <w:szCs w:val="24"/>
                <w:lang w:val="en-US" w:eastAsia="ar-SA"/>
                <w14:ligatures w14:val="none"/>
              </w:rPr>
              <w:t>The TSO considering the balancing need of its control or other system needs shall as a Requesting TSO</w:t>
            </w:r>
            <w:r w:rsidRPr="00422A2A">
              <w:rPr>
                <w:rFonts w:ascii="Times New Roman" w:eastAsia="Times New Roman" w:hAnsi="Times New Roman" w:cs="Times New Roman"/>
                <w:sz w:val="24"/>
                <w:szCs w:val="24"/>
                <w:lang w:val="en-US"/>
              </w:rPr>
              <w:t xml:space="preserve"> submit requests for activation to MARI platform or in cases described in </w:t>
            </w:r>
            <w:r w:rsidR="00013652">
              <w:rPr>
                <w:rFonts w:ascii="Times New Roman" w:eastAsia="Times New Roman" w:hAnsi="Times New Roman" w:cs="Times New Roman"/>
                <w:sz w:val="24"/>
                <w:szCs w:val="24"/>
                <w:lang w:val="en-US"/>
              </w:rPr>
              <w:t xml:space="preserve">Clause 2.4. </w:t>
            </w:r>
            <w:r w:rsidRPr="00422A2A">
              <w:rPr>
                <w:rFonts w:ascii="Times New Roman" w:eastAsia="Times New Roman" w:hAnsi="Times New Roman" w:cs="Times New Roman"/>
                <w:sz w:val="24"/>
                <w:szCs w:val="24"/>
                <w:lang w:val="en-US"/>
              </w:rPr>
              <w:t>to other TSOs.</w:t>
            </w:r>
          </w:p>
        </w:tc>
        <w:tc>
          <w:tcPr>
            <w:tcW w:w="3760" w:type="dxa"/>
          </w:tcPr>
          <w:p w14:paraId="23111F5E" w14:textId="7647C9FB"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PSO, ņemot vērā tā kontroles zonas balansēšanas vajadzības vai citas sistēmas vajadzības kā Pieprasošais PSO iesniedz aktivizācijas pieprasījumus MARI platformā vai 2.</w:t>
            </w:r>
            <w:r>
              <w:rPr>
                <w:rFonts w:ascii="Times New Roman" w:hAnsi="Times New Roman" w:cs="Times New Roman"/>
                <w:sz w:val="24"/>
                <w:szCs w:val="24"/>
              </w:rPr>
              <w:t>4</w:t>
            </w:r>
            <w:r w:rsidRPr="0030041C">
              <w:rPr>
                <w:rFonts w:ascii="Times New Roman" w:hAnsi="Times New Roman" w:cs="Times New Roman"/>
                <w:sz w:val="24"/>
                <w:szCs w:val="24"/>
              </w:rPr>
              <w:t xml:space="preserve">. punktā minētajos gadījumos citiem PSO. </w:t>
            </w:r>
          </w:p>
        </w:tc>
      </w:tr>
      <w:tr w:rsidR="00F527BD" w14:paraId="7446C5E5" w14:textId="77777777" w:rsidTr="00F527BD">
        <w:tc>
          <w:tcPr>
            <w:tcW w:w="1276" w:type="dxa"/>
          </w:tcPr>
          <w:p w14:paraId="67F8AE81" w14:textId="77777777" w:rsidR="00422A2A" w:rsidRPr="00EA7B9E" w:rsidRDefault="00422A2A" w:rsidP="00013652">
            <w:pPr>
              <w:pStyle w:val="ListParagraph"/>
              <w:numPr>
                <w:ilvl w:val="1"/>
                <w:numId w:val="7"/>
              </w:numPr>
              <w:contextualSpacing w:val="0"/>
              <w:jc w:val="both"/>
              <w:rPr>
                <w:rFonts w:ascii="Times New Roman" w:eastAsia="SimSun" w:hAnsi="Times New Roman" w:cs="Times New Roman"/>
                <w:kern w:val="0"/>
                <w:sz w:val="24"/>
                <w:szCs w:val="24"/>
                <w:lang w:val="en-US" w:eastAsia="ar-SA"/>
                <w14:ligatures w14:val="none"/>
              </w:rPr>
            </w:pPr>
          </w:p>
        </w:tc>
        <w:tc>
          <w:tcPr>
            <w:tcW w:w="3890" w:type="dxa"/>
          </w:tcPr>
          <w:p w14:paraId="0B477E16" w14:textId="705F5DF4" w:rsidR="00422A2A" w:rsidRPr="00422A2A" w:rsidRDefault="00422A2A" w:rsidP="00422A2A">
            <w:pPr>
              <w:jc w:val="both"/>
              <w:rPr>
                <w:rFonts w:ascii="Times New Roman" w:eastAsia="SimSun" w:hAnsi="Times New Roman" w:cs="Times New Roman"/>
                <w:kern w:val="0"/>
                <w:sz w:val="24"/>
                <w:szCs w:val="24"/>
                <w:lang w:val="en-US" w:eastAsia="ar-SA"/>
                <w14:ligatures w14:val="none"/>
              </w:rPr>
            </w:pPr>
            <w:r w:rsidRPr="00422A2A">
              <w:rPr>
                <w:rFonts w:ascii="Times New Roman" w:eastAsia="SimSun" w:hAnsi="Times New Roman" w:cs="Times New Roman"/>
                <w:kern w:val="0"/>
                <w:sz w:val="24"/>
                <w:szCs w:val="24"/>
                <w:lang w:val="en-US" w:eastAsia="ar-SA"/>
                <w14:ligatures w14:val="none"/>
              </w:rPr>
              <w:t xml:space="preserve">The TSO shall, </w:t>
            </w:r>
            <w:proofErr w:type="gramStart"/>
            <w:r w:rsidRPr="00422A2A">
              <w:rPr>
                <w:rFonts w:ascii="Times New Roman" w:eastAsia="SimSun" w:hAnsi="Times New Roman" w:cs="Times New Roman"/>
                <w:kern w:val="0"/>
                <w:sz w:val="24"/>
                <w:szCs w:val="24"/>
                <w:lang w:val="en-US" w:eastAsia="ar-SA"/>
                <w14:ligatures w14:val="none"/>
              </w:rPr>
              <w:t>taking into account</w:t>
            </w:r>
            <w:proofErr w:type="gramEnd"/>
            <w:r w:rsidRPr="00422A2A">
              <w:rPr>
                <w:rFonts w:ascii="Times New Roman" w:eastAsia="SimSun" w:hAnsi="Times New Roman" w:cs="Times New Roman"/>
                <w:kern w:val="0"/>
                <w:sz w:val="24"/>
                <w:szCs w:val="24"/>
                <w:lang w:val="en-US" w:eastAsia="ar-SA"/>
                <w14:ligatures w14:val="none"/>
              </w:rPr>
              <w:t xml:space="preserve"> the frequency restoration control error in its control area, submit activation requests to the PICASSO platform as the Requesting TSO or to other TSOs in the cases referred to in </w:t>
            </w:r>
            <w:r>
              <w:rPr>
                <w:rFonts w:ascii="Times New Roman" w:eastAsia="SimSun" w:hAnsi="Times New Roman" w:cs="Times New Roman"/>
                <w:kern w:val="0"/>
                <w:sz w:val="24"/>
                <w:szCs w:val="24"/>
                <w:lang w:val="en-US" w:eastAsia="ar-SA"/>
                <w14:ligatures w14:val="none"/>
              </w:rPr>
              <w:t>clause</w:t>
            </w:r>
            <w:r w:rsidRPr="00422A2A">
              <w:rPr>
                <w:rFonts w:ascii="Times New Roman" w:eastAsia="SimSun" w:hAnsi="Times New Roman" w:cs="Times New Roman"/>
                <w:kern w:val="0"/>
                <w:sz w:val="24"/>
                <w:szCs w:val="24"/>
                <w:lang w:val="en-US" w:eastAsia="ar-SA"/>
                <w14:ligatures w14:val="none"/>
              </w:rPr>
              <w:t xml:space="preserve"> 2.</w:t>
            </w:r>
            <w:r w:rsidR="00013652">
              <w:rPr>
                <w:rFonts w:ascii="Times New Roman" w:eastAsia="SimSun" w:hAnsi="Times New Roman" w:cs="Times New Roman"/>
                <w:kern w:val="0"/>
                <w:sz w:val="24"/>
                <w:szCs w:val="24"/>
                <w:lang w:val="en-US" w:eastAsia="ar-SA"/>
                <w14:ligatures w14:val="none"/>
              </w:rPr>
              <w:t>4</w:t>
            </w:r>
          </w:p>
        </w:tc>
        <w:tc>
          <w:tcPr>
            <w:tcW w:w="3760" w:type="dxa"/>
          </w:tcPr>
          <w:p w14:paraId="50BCC10C" w14:textId="5D4E22D5"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PSO, ņemot vērā tā kontroles zonas frekvences atjaunošanas kontroles kļūdu kā Pieprasošais PSO iesniedz aktivizācijas pieprasījumus PICASSO platformā vai 2.</w:t>
            </w:r>
            <w:r w:rsidR="00013652">
              <w:rPr>
                <w:rFonts w:ascii="Times New Roman" w:hAnsi="Times New Roman" w:cs="Times New Roman"/>
                <w:sz w:val="24"/>
                <w:szCs w:val="24"/>
              </w:rPr>
              <w:t>4</w:t>
            </w:r>
            <w:r w:rsidRPr="0030041C">
              <w:rPr>
                <w:rFonts w:ascii="Times New Roman" w:hAnsi="Times New Roman" w:cs="Times New Roman"/>
                <w:sz w:val="24"/>
                <w:szCs w:val="24"/>
              </w:rPr>
              <w:t>. punktā minētajos gadījumos citiem PSO.</w:t>
            </w:r>
          </w:p>
        </w:tc>
      </w:tr>
      <w:tr w:rsidR="00F527BD" w14:paraId="6B664A35" w14:textId="77777777" w:rsidTr="00F527BD">
        <w:tc>
          <w:tcPr>
            <w:tcW w:w="1276" w:type="dxa"/>
          </w:tcPr>
          <w:p w14:paraId="4D5131CC" w14:textId="77777777" w:rsidR="00422A2A" w:rsidRPr="00013652" w:rsidRDefault="00422A2A" w:rsidP="00013652">
            <w:pPr>
              <w:pStyle w:val="ListParagraph"/>
              <w:numPr>
                <w:ilvl w:val="1"/>
                <w:numId w:val="7"/>
              </w:numPr>
              <w:contextualSpacing w:val="0"/>
              <w:jc w:val="both"/>
              <w:rPr>
                <w:rFonts w:ascii="Times New Roman" w:eastAsia="SimSun" w:hAnsi="Times New Roman" w:cs="Times New Roman"/>
                <w:kern w:val="0"/>
                <w:sz w:val="24"/>
                <w:szCs w:val="24"/>
                <w:lang w:val="en-US" w:eastAsia="ar-SA"/>
                <w14:ligatures w14:val="none"/>
              </w:rPr>
            </w:pPr>
          </w:p>
        </w:tc>
        <w:tc>
          <w:tcPr>
            <w:tcW w:w="3890" w:type="dxa"/>
          </w:tcPr>
          <w:p w14:paraId="3F70F51A" w14:textId="4A4B7EED" w:rsidR="00422A2A" w:rsidRPr="00422A2A" w:rsidRDefault="00422A2A" w:rsidP="00013652">
            <w:pPr>
              <w:ind w:left="32"/>
              <w:rPr>
                <w:rFonts w:ascii="Times New Roman" w:eastAsia="Times New Roman" w:hAnsi="Times New Roman" w:cs="Times New Roman"/>
                <w:sz w:val="24"/>
                <w:szCs w:val="24"/>
                <w:lang w:val="en-US"/>
              </w:rPr>
            </w:pPr>
            <w:r w:rsidRPr="00422A2A">
              <w:rPr>
                <w:rFonts w:ascii="Times New Roman" w:eastAsia="SimSun" w:hAnsi="Times New Roman" w:cs="Times New Roman"/>
                <w:kern w:val="0"/>
                <w:sz w:val="24"/>
                <w:szCs w:val="24"/>
                <w:lang w:val="en-US" w:eastAsia="ar-SA"/>
                <w14:ligatures w14:val="none"/>
              </w:rPr>
              <w:t xml:space="preserve">Information exchange with the RPS of its control area and settlement </w:t>
            </w:r>
            <w:proofErr w:type="gramStart"/>
            <w:r w:rsidRPr="00422A2A">
              <w:rPr>
                <w:rFonts w:ascii="Times New Roman" w:eastAsia="SimSun" w:hAnsi="Times New Roman" w:cs="Times New Roman"/>
                <w:kern w:val="0"/>
                <w:sz w:val="24"/>
                <w:szCs w:val="24"/>
                <w:lang w:val="en-US" w:eastAsia="ar-SA"/>
                <w14:ligatures w14:val="none"/>
              </w:rPr>
              <w:t>of  activated</w:t>
            </w:r>
            <w:proofErr w:type="gramEnd"/>
            <w:r w:rsidRPr="00422A2A">
              <w:rPr>
                <w:rFonts w:ascii="Times New Roman" w:eastAsia="SimSun" w:hAnsi="Times New Roman" w:cs="Times New Roman"/>
                <w:kern w:val="0"/>
                <w:sz w:val="24"/>
                <w:szCs w:val="24"/>
                <w:lang w:val="en-US" w:eastAsia="ar-SA"/>
                <w14:ligatures w14:val="none"/>
              </w:rPr>
              <w:t xml:space="preserve"> RPS bids shall be carried out by the TSO in the order specified in the ancillary service contract.</w:t>
            </w:r>
          </w:p>
        </w:tc>
        <w:tc>
          <w:tcPr>
            <w:tcW w:w="3760" w:type="dxa"/>
          </w:tcPr>
          <w:p w14:paraId="3F79A1AA" w14:textId="282301CB"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Informācijas apmaiņu ar savas kontroles zonas RPS un norēķinu par RPS aktivizētajiem solījumiem PSO veic </w:t>
            </w:r>
            <w:proofErr w:type="spellStart"/>
            <w:r w:rsidRPr="0030041C">
              <w:rPr>
                <w:rFonts w:ascii="Times New Roman" w:hAnsi="Times New Roman" w:cs="Times New Roman"/>
                <w:sz w:val="24"/>
                <w:szCs w:val="24"/>
              </w:rPr>
              <w:t>palīgpakalpojumu</w:t>
            </w:r>
            <w:proofErr w:type="spellEnd"/>
            <w:r w:rsidRPr="0030041C">
              <w:rPr>
                <w:rFonts w:ascii="Times New Roman" w:hAnsi="Times New Roman" w:cs="Times New Roman"/>
                <w:sz w:val="24"/>
                <w:szCs w:val="24"/>
              </w:rPr>
              <w:t xml:space="preserve"> līgumā noteiktajā kartībā.</w:t>
            </w:r>
          </w:p>
          <w:p w14:paraId="6B77BBA3" w14:textId="738A7C33" w:rsidR="00422A2A" w:rsidRPr="00941DA8" w:rsidRDefault="00422A2A" w:rsidP="005A43AF">
            <w:pPr>
              <w:pStyle w:val="ListParagraph"/>
              <w:ind w:left="1080"/>
              <w:contextualSpacing w:val="0"/>
              <w:jc w:val="both"/>
              <w:rPr>
                <w:rFonts w:ascii="Times New Roman" w:hAnsi="Times New Roman" w:cs="Times New Roman"/>
                <w:sz w:val="24"/>
                <w:szCs w:val="24"/>
              </w:rPr>
            </w:pPr>
          </w:p>
        </w:tc>
      </w:tr>
      <w:tr w:rsidR="00F527BD" w14:paraId="2CDFE535" w14:textId="77777777" w:rsidTr="00F527BD">
        <w:tc>
          <w:tcPr>
            <w:tcW w:w="1276" w:type="dxa"/>
          </w:tcPr>
          <w:p w14:paraId="23047A16" w14:textId="77777777" w:rsidR="00422A2A" w:rsidRPr="00013652" w:rsidRDefault="00422A2A" w:rsidP="00013652">
            <w:pPr>
              <w:pStyle w:val="ListParagraph"/>
              <w:numPr>
                <w:ilvl w:val="1"/>
                <w:numId w:val="7"/>
              </w:numPr>
              <w:contextualSpacing w:val="0"/>
              <w:jc w:val="both"/>
              <w:rPr>
                <w:rFonts w:ascii="Times New Roman" w:eastAsia="SimSun" w:hAnsi="Times New Roman" w:cs="Times New Roman"/>
                <w:kern w:val="0"/>
                <w:sz w:val="24"/>
                <w:szCs w:val="24"/>
                <w:lang w:val="en-US" w:eastAsia="ar-SA"/>
                <w14:ligatures w14:val="none"/>
              </w:rPr>
            </w:pPr>
          </w:p>
        </w:tc>
        <w:tc>
          <w:tcPr>
            <w:tcW w:w="3890" w:type="dxa"/>
          </w:tcPr>
          <w:p w14:paraId="7019B57C" w14:textId="3EF047EF" w:rsidR="00422A2A" w:rsidRPr="00422A2A" w:rsidRDefault="00422A2A" w:rsidP="00422A2A">
            <w:pPr>
              <w:jc w:val="both"/>
              <w:rPr>
                <w:rFonts w:ascii="Times New Roman" w:eastAsia="SimSun" w:hAnsi="Times New Roman" w:cs="Times New Roman"/>
                <w:kern w:val="0"/>
                <w:sz w:val="24"/>
                <w:szCs w:val="24"/>
                <w:lang w:val="en-US" w:eastAsia="ar-SA"/>
                <w14:ligatures w14:val="none"/>
              </w:rPr>
            </w:pPr>
            <w:r w:rsidRPr="00422A2A">
              <w:rPr>
                <w:rFonts w:ascii="Times New Roman" w:eastAsia="SimSun" w:hAnsi="Times New Roman" w:cs="Times New Roman"/>
                <w:kern w:val="0"/>
                <w:sz w:val="24"/>
                <w:szCs w:val="24"/>
                <w:lang w:val="en-US" w:eastAsia="ar-SA"/>
                <w14:ligatures w14:val="none"/>
              </w:rPr>
              <w:t>Market participants shall comply with the requirements of the Annex to this regulation when participating in the balancing market.</w:t>
            </w:r>
          </w:p>
        </w:tc>
        <w:tc>
          <w:tcPr>
            <w:tcW w:w="3760" w:type="dxa"/>
          </w:tcPr>
          <w:p w14:paraId="255444CB" w14:textId="6548F1E1"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Tirgus dalībnieki, piedaloties balansēšanas tirgū, </w:t>
            </w:r>
            <w:r w:rsidRPr="005A43AF">
              <w:rPr>
                <w:rFonts w:ascii="Times New Roman" w:hAnsi="Times New Roman" w:cs="Times New Roman"/>
                <w:sz w:val="24"/>
                <w:szCs w:val="24"/>
              </w:rPr>
              <w:t>ievēro šo noteikumu pielikuma prasības.</w:t>
            </w:r>
          </w:p>
        </w:tc>
      </w:tr>
      <w:tr w:rsidR="00F527BD" w14:paraId="76246049" w14:textId="77777777" w:rsidTr="00F527BD">
        <w:tc>
          <w:tcPr>
            <w:tcW w:w="1276" w:type="dxa"/>
          </w:tcPr>
          <w:p w14:paraId="2543D8E7" w14:textId="5131AC06" w:rsidR="00422A2A" w:rsidRPr="00941DA8" w:rsidRDefault="00422A2A" w:rsidP="00013652">
            <w:pPr>
              <w:pStyle w:val="ListParagraph"/>
              <w:numPr>
                <w:ilvl w:val="0"/>
                <w:numId w:val="7"/>
              </w:numPr>
              <w:contextualSpacing w:val="0"/>
              <w:jc w:val="center"/>
              <w:rPr>
                <w:rFonts w:eastAsia="Times New Roman"/>
                <w:b/>
                <w:bCs/>
                <w:szCs w:val="24"/>
                <w:lang w:val="en-US"/>
              </w:rPr>
            </w:pPr>
          </w:p>
        </w:tc>
        <w:tc>
          <w:tcPr>
            <w:tcW w:w="3890" w:type="dxa"/>
          </w:tcPr>
          <w:p w14:paraId="4E39C5F8" w14:textId="7DCC64CC" w:rsidR="00422A2A" w:rsidRPr="00941DA8" w:rsidRDefault="00422A2A" w:rsidP="00013652">
            <w:pPr>
              <w:pStyle w:val="Point0number"/>
              <w:numPr>
                <w:ilvl w:val="0"/>
                <w:numId w:val="0"/>
              </w:numPr>
              <w:tabs>
                <w:tab w:val="left" w:pos="720"/>
              </w:tabs>
              <w:spacing w:before="0" w:after="0"/>
              <w:ind w:left="360"/>
              <w:jc w:val="center"/>
              <w:rPr>
                <w:rFonts w:eastAsia="Times New Roman"/>
                <w:b/>
                <w:szCs w:val="24"/>
                <w:lang w:val="en-US"/>
              </w:rPr>
            </w:pPr>
            <w:r w:rsidRPr="00941DA8">
              <w:rPr>
                <w:rFonts w:eastAsia="Times New Roman"/>
                <w:b/>
                <w:bCs/>
                <w:szCs w:val="24"/>
                <w:lang w:val="en-US"/>
              </w:rPr>
              <w:t>Energy products</w:t>
            </w:r>
          </w:p>
        </w:tc>
        <w:tc>
          <w:tcPr>
            <w:tcW w:w="3760" w:type="dxa"/>
          </w:tcPr>
          <w:p w14:paraId="196C9888" w14:textId="6B0BF4AA" w:rsidR="00422A2A" w:rsidRPr="00941DA8" w:rsidRDefault="00422A2A" w:rsidP="005A43AF">
            <w:pPr>
              <w:jc w:val="center"/>
              <w:rPr>
                <w:rFonts w:ascii="Times New Roman" w:hAnsi="Times New Roman" w:cs="Times New Roman"/>
                <w:b/>
                <w:sz w:val="24"/>
                <w:szCs w:val="24"/>
              </w:rPr>
            </w:pPr>
            <w:r w:rsidRPr="00941DA8">
              <w:rPr>
                <w:rFonts w:ascii="Times New Roman" w:eastAsia="Times New Roman" w:hAnsi="Times New Roman" w:cs="Times New Roman"/>
                <w:b/>
                <w:bCs/>
                <w:sz w:val="24"/>
                <w:szCs w:val="24"/>
                <w:lang w:val="en-US"/>
              </w:rPr>
              <w:t xml:space="preserve">Enerģijas </w:t>
            </w:r>
            <w:proofErr w:type="spellStart"/>
            <w:r w:rsidRPr="00941DA8">
              <w:rPr>
                <w:rFonts w:ascii="Times New Roman" w:eastAsia="Times New Roman" w:hAnsi="Times New Roman" w:cs="Times New Roman"/>
                <w:b/>
                <w:bCs/>
                <w:sz w:val="24"/>
                <w:szCs w:val="24"/>
                <w:lang w:val="en-US"/>
              </w:rPr>
              <w:t>produkti</w:t>
            </w:r>
            <w:proofErr w:type="spellEnd"/>
          </w:p>
        </w:tc>
      </w:tr>
      <w:tr w:rsidR="00F527BD" w14:paraId="246E42F4" w14:textId="77777777" w:rsidTr="00F527BD">
        <w:tc>
          <w:tcPr>
            <w:tcW w:w="1276" w:type="dxa"/>
          </w:tcPr>
          <w:p w14:paraId="03A16743" w14:textId="30DF20AE" w:rsidR="00422A2A" w:rsidRPr="00013652" w:rsidRDefault="00422A2A" w:rsidP="00013652">
            <w:pPr>
              <w:pStyle w:val="ListParagraph"/>
              <w:numPr>
                <w:ilvl w:val="1"/>
                <w:numId w:val="7"/>
              </w:numPr>
              <w:jc w:val="both"/>
              <w:rPr>
                <w:rFonts w:ascii="Times New Roman" w:eastAsia="SimSun" w:hAnsi="Times New Roman" w:cs="Times New Roman"/>
                <w:kern w:val="0"/>
                <w:sz w:val="24"/>
                <w:szCs w:val="24"/>
                <w:lang w:val="en-US" w:eastAsia="ar-SA"/>
                <w14:ligatures w14:val="none"/>
              </w:rPr>
            </w:pPr>
          </w:p>
        </w:tc>
        <w:tc>
          <w:tcPr>
            <w:tcW w:w="3890" w:type="dxa"/>
          </w:tcPr>
          <w:p w14:paraId="1525FFAE" w14:textId="36E4D3E2" w:rsidR="00422A2A" w:rsidRPr="00013652" w:rsidRDefault="00422A2A" w:rsidP="00013652">
            <w:pPr>
              <w:rPr>
                <w:rFonts w:ascii="Times New Roman" w:eastAsia="Times New Roman" w:hAnsi="Times New Roman" w:cs="Times New Roman"/>
                <w:sz w:val="24"/>
                <w:szCs w:val="24"/>
                <w:lang w:val="en-US"/>
              </w:rPr>
            </w:pPr>
            <w:r w:rsidRPr="00013652">
              <w:rPr>
                <w:rFonts w:ascii="Times New Roman" w:eastAsia="SimSun" w:hAnsi="Times New Roman" w:cs="Times New Roman"/>
                <w:kern w:val="0"/>
                <w:sz w:val="24"/>
                <w:szCs w:val="24"/>
                <w:lang w:val="en-US" w:eastAsia="ar-SA"/>
                <w14:ligatures w14:val="none"/>
              </w:rPr>
              <w:t>In the balancing market TSO shall use</w:t>
            </w:r>
            <w:r w:rsidRPr="00013652">
              <w:rPr>
                <w:rFonts w:ascii="Times New Roman" w:eastAsia="SimSun" w:hAnsi="Times New Roman" w:cs="Times New Roman"/>
                <w:kern w:val="0"/>
                <w:sz w:val="24"/>
                <w:szCs w:val="24"/>
                <w:lang w:val="en-US" w:eastAsia="ar-SA"/>
                <w14:ligatures w14:val="none"/>
              </w:rPr>
              <w:tab/>
            </w:r>
            <w:proofErr w:type="spellStart"/>
            <w:r w:rsidRPr="00013652">
              <w:rPr>
                <w:rFonts w:ascii="Times New Roman" w:eastAsia="SimSun" w:hAnsi="Times New Roman" w:cs="Times New Roman"/>
                <w:kern w:val="0"/>
                <w:sz w:val="24"/>
                <w:szCs w:val="24"/>
                <w:lang w:val="en-US" w:eastAsia="ar-SA"/>
                <w14:ligatures w14:val="none"/>
              </w:rPr>
              <w:t>mFRR</w:t>
            </w:r>
            <w:proofErr w:type="spellEnd"/>
            <w:r w:rsidRPr="00013652">
              <w:rPr>
                <w:rFonts w:ascii="Times New Roman" w:eastAsia="SimSun" w:hAnsi="Times New Roman" w:cs="Times New Roman"/>
                <w:kern w:val="0"/>
                <w:sz w:val="24"/>
                <w:szCs w:val="24"/>
                <w:lang w:val="en-US" w:eastAsia="ar-SA"/>
                <w14:ligatures w14:val="none"/>
              </w:rPr>
              <w:t xml:space="preserve"> standard product.</w:t>
            </w:r>
          </w:p>
        </w:tc>
        <w:tc>
          <w:tcPr>
            <w:tcW w:w="3760" w:type="dxa"/>
          </w:tcPr>
          <w:p w14:paraId="6DCE7513" w14:textId="393BDCD6"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Balansēšanas tirgū PSO izmanto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produktu.</w:t>
            </w:r>
          </w:p>
        </w:tc>
      </w:tr>
      <w:tr w:rsidR="00F527BD" w14:paraId="0294CC7D" w14:textId="77777777" w:rsidTr="00F527BD">
        <w:tc>
          <w:tcPr>
            <w:tcW w:w="1276" w:type="dxa"/>
          </w:tcPr>
          <w:p w14:paraId="2DF6EEF6" w14:textId="66E3A284" w:rsidR="00422A2A" w:rsidRPr="00013652" w:rsidRDefault="00422A2A" w:rsidP="00013652">
            <w:pPr>
              <w:pStyle w:val="ListParagraph"/>
              <w:numPr>
                <w:ilvl w:val="1"/>
                <w:numId w:val="7"/>
              </w:numPr>
              <w:jc w:val="both"/>
              <w:rPr>
                <w:rFonts w:ascii="Times New Roman" w:eastAsia="SimSun" w:hAnsi="Times New Roman" w:cs="Times New Roman"/>
                <w:kern w:val="0"/>
                <w:sz w:val="24"/>
                <w:szCs w:val="24"/>
                <w:lang w:val="en-US" w:eastAsia="ar-SA"/>
                <w14:ligatures w14:val="none"/>
              </w:rPr>
            </w:pPr>
          </w:p>
        </w:tc>
        <w:tc>
          <w:tcPr>
            <w:tcW w:w="3890" w:type="dxa"/>
          </w:tcPr>
          <w:p w14:paraId="172049BC" w14:textId="620326DE" w:rsidR="00422A2A" w:rsidRPr="00013652" w:rsidRDefault="00422A2A" w:rsidP="00013652">
            <w:pPr>
              <w:rPr>
                <w:rFonts w:ascii="Times New Roman" w:eastAsia="SimSun" w:hAnsi="Times New Roman" w:cs="Times New Roman"/>
                <w:kern w:val="0"/>
                <w:sz w:val="24"/>
                <w:szCs w:val="24"/>
                <w:lang w:val="en-US" w:eastAsia="ar-SA"/>
                <w14:ligatures w14:val="none"/>
              </w:rPr>
            </w:pPr>
            <w:r w:rsidRPr="00013652">
              <w:rPr>
                <w:rFonts w:ascii="Times New Roman" w:eastAsia="SimSun" w:hAnsi="Times New Roman" w:cs="Times New Roman"/>
                <w:kern w:val="0"/>
                <w:sz w:val="24"/>
                <w:szCs w:val="24"/>
                <w:lang w:val="en-US" w:eastAsia="ar-SA"/>
                <w14:ligatures w14:val="none"/>
              </w:rPr>
              <w:t>In the balancing market TSO shall use</w:t>
            </w:r>
            <w:r w:rsidRPr="00013652">
              <w:rPr>
                <w:rFonts w:ascii="Times New Roman" w:eastAsia="SimSun" w:hAnsi="Times New Roman" w:cs="Times New Roman"/>
                <w:kern w:val="0"/>
                <w:sz w:val="24"/>
                <w:szCs w:val="24"/>
                <w:lang w:val="en-US" w:eastAsia="ar-SA"/>
                <w14:ligatures w14:val="none"/>
              </w:rPr>
              <w:tab/>
            </w:r>
            <w:proofErr w:type="spellStart"/>
            <w:r w:rsidRPr="00013652">
              <w:rPr>
                <w:rFonts w:ascii="Times New Roman" w:eastAsia="SimSun" w:hAnsi="Times New Roman" w:cs="Times New Roman"/>
                <w:kern w:val="0"/>
                <w:sz w:val="24"/>
                <w:szCs w:val="24"/>
                <w:lang w:val="en-US" w:eastAsia="ar-SA"/>
                <w14:ligatures w14:val="none"/>
              </w:rPr>
              <w:t>aFRR</w:t>
            </w:r>
            <w:proofErr w:type="spellEnd"/>
            <w:r w:rsidRPr="00013652">
              <w:rPr>
                <w:rFonts w:ascii="Times New Roman" w:eastAsia="SimSun" w:hAnsi="Times New Roman" w:cs="Times New Roman"/>
                <w:kern w:val="0"/>
                <w:sz w:val="24"/>
                <w:szCs w:val="24"/>
                <w:lang w:val="en-US" w:eastAsia="ar-SA"/>
                <w14:ligatures w14:val="none"/>
              </w:rPr>
              <w:t xml:space="preserve"> standard product. </w:t>
            </w:r>
          </w:p>
        </w:tc>
        <w:tc>
          <w:tcPr>
            <w:tcW w:w="3760" w:type="dxa"/>
          </w:tcPr>
          <w:p w14:paraId="4CB97A47" w14:textId="241E8B80"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Balansēšanas tirgū PSO izmanto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produktu,.</w:t>
            </w:r>
          </w:p>
        </w:tc>
      </w:tr>
      <w:tr w:rsidR="00F527BD" w14:paraId="2C6B1B41" w14:textId="77777777" w:rsidTr="00F527BD">
        <w:trPr>
          <w:trHeight w:val="132"/>
        </w:trPr>
        <w:tc>
          <w:tcPr>
            <w:tcW w:w="1276" w:type="dxa"/>
          </w:tcPr>
          <w:p w14:paraId="52A32A69" w14:textId="7A375A08" w:rsidR="00422A2A" w:rsidRPr="00013652" w:rsidRDefault="00422A2A" w:rsidP="00013652">
            <w:pPr>
              <w:pStyle w:val="ListParagraph"/>
              <w:numPr>
                <w:ilvl w:val="1"/>
                <w:numId w:val="7"/>
              </w:numPr>
              <w:jc w:val="both"/>
              <w:rPr>
                <w:rFonts w:ascii="Times New Roman" w:eastAsia="SimSun" w:hAnsi="Times New Roman" w:cs="Times New Roman"/>
                <w:kern w:val="0"/>
                <w:sz w:val="24"/>
                <w:szCs w:val="24"/>
                <w:lang w:val="en-US" w:eastAsia="ar-SA"/>
                <w14:ligatures w14:val="none"/>
              </w:rPr>
            </w:pPr>
          </w:p>
        </w:tc>
        <w:tc>
          <w:tcPr>
            <w:tcW w:w="3890" w:type="dxa"/>
          </w:tcPr>
          <w:p w14:paraId="350B5798" w14:textId="753A24D0" w:rsidR="00422A2A" w:rsidRPr="00013652" w:rsidRDefault="00422A2A" w:rsidP="00013652">
            <w:pPr>
              <w:jc w:val="both"/>
              <w:rPr>
                <w:rFonts w:ascii="Times New Roman" w:eastAsia="SimSun" w:hAnsi="Times New Roman" w:cs="Times New Roman"/>
                <w:kern w:val="0"/>
                <w:sz w:val="24"/>
                <w:szCs w:val="24"/>
                <w:lang w:val="en-US" w:eastAsia="ar-SA"/>
                <w14:ligatures w14:val="none"/>
              </w:rPr>
            </w:pPr>
            <w:r w:rsidRPr="00013652">
              <w:rPr>
                <w:rFonts w:ascii="Times New Roman" w:eastAsia="SimSun" w:hAnsi="Times New Roman" w:cs="Times New Roman"/>
                <w:kern w:val="0"/>
                <w:sz w:val="24"/>
                <w:szCs w:val="24"/>
                <w:lang w:val="en-US" w:eastAsia="ar-SA"/>
                <w14:ligatures w14:val="none"/>
              </w:rPr>
              <w:t xml:space="preserve">BPS can participate in the balancing market only with such </w:t>
            </w:r>
            <w:proofErr w:type="spellStart"/>
            <w:r w:rsidRPr="00013652">
              <w:rPr>
                <w:rFonts w:ascii="Times New Roman" w:eastAsia="SimSun" w:hAnsi="Times New Roman" w:cs="Times New Roman"/>
                <w:kern w:val="0"/>
                <w:sz w:val="24"/>
                <w:szCs w:val="24"/>
                <w:lang w:val="en-US" w:eastAsia="ar-SA"/>
                <w14:ligatures w14:val="none"/>
              </w:rPr>
              <w:t>aFRR</w:t>
            </w:r>
            <w:proofErr w:type="spellEnd"/>
            <w:r w:rsidRPr="00013652">
              <w:rPr>
                <w:rFonts w:ascii="Times New Roman" w:eastAsia="SimSun" w:hAnsi="Times New Roman" w:cs="Times New Roman"/>
                <w:kern w:val="0"/>
                <w:sz w:val="24"/>
                <w:szCs w:val="24"/>
                <w:lang w:val="en-US" w:eastAsia="ar-SA"/>
                <w14:ligatures w14:val="none"/>
              </w:rPr>
              <w:t xml:space="preserve"> and </w:t>
            </w:r>
            <w:proofErr w:type="spellStart"/>
            <w:r w:rsidRPr="00013652">
              <w:rPr>
                <w:rFonts w:ascii="Times New Roman" w:eastAsia="SimSun" w:hAnsi="Times New Roman" w:cs="Times New Roman"/>
                <w:kern w:val="0"/>
                <w:sz w:val="24"/>
                <w:szCs w:val="24"/>
                <w:lang w:val="en-US" w:eastAsia="ar-SA"/>
                <w14:ligatures w14:val="none"/>
              </w:rPr>
              <w:t>mFRR</w:t>
            </w:r>
            <w:proofErr w:type="spellEnd"/>
            <w:r w:rsidRPr="00013652">
              <w:rPr>
                <w:rFonts w:ascii="Times New Roman" w:eastAsia="SimSun" w:hAnsi="Times New Roman" w:cs="Times New Roman"/>
                <w:kern w:val="0"/>
                <w:sz w:val="24"/>
                <w:szCs w:val="24"/>
                <w:lang w:val="en-US" w:eastAsia="ar-SA"/>
                <w14:ligatures w14:val="none"/>
              </w:rPr>
              <w:t xml:space="preserve"> balancing bids that meet the requirements of the standard </w:t>
            </w:r>
            <w:proofErr w:type="spellStart"/>
            <w:r w:rsidRPr="00013652">
              <w:rPr>
                <w:rFonts w:ascii="Times New Roman" w:eastAsia="SimSun" w:hAnsi="Times New Roman" w:cs="Times New Roman"/>
                <w:kern w:val="0"/>
                <w:sz w:val="24"/>
                <w:szCs w:val="24"/>
                <w:lang w:val="en-US" w:eastAsia="ar-SA"/>
                <w14:ligatures w14:val="none"/>
              </w:rPr>
              <w:t>aFRR</w:t>
            </w:r>
            <w:proofErr w:type="spellEnd"/>
            <w:r w:rsidRPr="00013652">
              <w:rPr>
                <w:rFonts w:ascii="Times New Roman" w:eastAsia="SimSun" w:hAnsi="Times New Roman" w:cs="Times New Roman"/>
                <w:kern w:val="0"/>
                <w:sz w:val="24"/>
                <w:szCs w:val="24"/>
                <w:lang w:val="en-US" w:eastAsia="ar-SA"/>
                <w14:ligatures w14:val="none"/>
              </w:rPr>
              <w:t xml:space="preserve"> or </w:t>
            </w:r>
            <w:proofErr w:type="spellStart"/>
            <w:r w:rsidRPr="00013652">
              <w:rPr>
                <w:rFonts w:ascii="Times New Roman" w:eastAsia="SimSun" w:hAnsi="Times New Roman" w:cs="Times New Roman"/>
                <w:kern w:val="0"/>
                <w:sz w:val="24"/>
                <w:szCs w:val="24"/>
                <w:lang w:val="en-US" w:eastAsia="ar-SA"/>
                <w14:ligatures w14:val="none"/>
              </w:rPr>
              <w:t>mFRR</w:t>
            </w:r>
            <w:proofErr w:type="spellEnd"/>
            <w:r w:rsidRPr="00013652">
              <w:rPr>
                <w:rFonts w:ascii="Times New Roman" w:eastAsia="SimSun" w:hAnsi="Times New Roman" w:cs="Times New Roman"/>
                <w:kern w:val="0"/>
                <w:sz w:val="24"/>
                <w:szCs w:val="24"/>
                <w:lang w:val="en-US" w:eastAsia="ar-SA"/>
                <w14:ligatures w14:val="none"/>
              </w:rPr>
              <w:t xml:space="preserve"> product.</w:t>
            </w:r>
          </w:p>
        </w:tc>
        <w:tc>
          <w:tcPr>
            <w:tcW w:w="3760" w:type="dxa"/>
          </w:tcPr>
          <w:p w14:paraId="0F2C2A9A" w14:textId="42DA732F" w:rsidR="00422A2A" w:rsidRPr="0030041C" w:rsidRDefault="00422A2A" w:rsidP="005A43AF">
            <w:pPr>
              <w:jc w:val="both"/>
              <w:rPr>
                <w:rFonts w:ascii="Times New Roman" w:hAnsi="Times New Roman" w:cs="Times New Roman"/>
                <w:b/>
                <w:sz w:val="24"/>
                <w:szCs w:val="24"/>
              </w:rPr>
            </w:pPr>
            <w:r w:rsidRPr="0030041C">
              <w:rPr>
                <w:rFonts w:ascii="Times New Roman" w:eastAsia="Times New Roman" w:hAnsi="Times New Roman" w:cs="Times New Roman"/>
                <w:sz w:val="24"/>
                <w:szCs w:val="24"/>
              </w:rPr>
              <w:t xml:space="preserve">Balansēšanas tirgū RPS var piedalīties tikai ar tādiem </w:t>
            </w:r>
            <w:proofErr w:type="spellStart"/>
            <w:r w:rsidRPr="0030041C">
              <w:rPr>
                <w:rFonts w:ascii="Times New Roman" w:eastAsia="Times New Roman" w:hAnsi="Times New Roman" w:cs="Times New Roman"/>
                <w:sz w:val="24"/>
                <w:szCs w:val="24"/>
              </w:rPr>
              <w:t>aFRR</w:t>
            </w:r>
            <w:proofErr w:type="spellEnd"/>
            <w:r w:rsidRPr="0030041C">
              <w:rPr>
                <w:rFonts w:ascii="Times New Roman" w:eastAsia="Times New Roman" w:hAnsi="Times New Roman" w:cs="Times New Roman"/>
                <w:sz w:val="24"/>
                <w:szCs w:val="24"/>
              </w:rPr>
              <w:t xml:space="preserve"> un </w:t>
            </w:r>
            <w:proofErr w:type="spellStart"/>
            <w:r w:rsidRPr="0030041C">
              <w:rPr>
                <w:rFonts w:ascii="Times New Roman" w:eastAsia="Times New Roman" w:hAnsi="Times New Roman" w:cs="Times New Roman"/>
                <w:sz w:val="24"/>
                <w:szCs w:val="24"/>
              </w:rPr>
              <w:t>mFRR</w:t>
            </w:r>
            <w:proofErr w:type="spellEnd"/>
            <w:r w:rsidRPr="0030041C">
              <w:rPr>
                <w:rFonts w:ascii="Times New Roman" w:eastAsia="Times New Roman" w:hAnsi="Times New Roman" w:cs="Times New Roman"/>
                <w:sz w:val="24"/>
                <w:szCs w:val="24"/>
              </w:rPr>
              <w:t xml:space="preserve"> regulēšanas produkta solījumiem, kas atbilst </w:t>
            </w:r>
            <w:proofErr w:type="spellStart"/>
            <w:r w:rsidRPr="0030041C">
              <w:rPr>
                <w:rFonts w:ascii="Times New Roman" w:eastAsia="Times New Roman" w:hAnsi="Times New Roman" w:cs="Times New Roman"/>
                <w:sz w:val="24"/>
                <w:szCs w:val="24"/>
              </w:rPr>
              <w:t>aFRR</w:t>
            </w:r>
            <w:proofErr w:type="spellEnd"/>
            <w:r w:rsidRPr="0030041C">
              <w:rPr>
                <w:rFonts w:ascii="Times New Roman" w:eastAsia="Times New Roman" w:hAnsi="Times New Roman" w:cs="Times New Roman"/>
                <w:sz w:val="24"/>
                <w:szCs w:val="24"/>
              </w:rPr>
              <w:t xml:space="preserve"> vai </w:t>
            </w:r>
            <w:proofErr w:type="spellStart"/>
            <w:r w:rsidRPr="0030041C">
              <w:rPr>
                <w:rFonts w:ascii="Times New Roman" w:eastAsia="Times New Roman" w:hAnsi="Times New Roman" w:cs="Times New Roman"/>
                <w:sz w:val="24"/>
                <w:szCs w:val="24"/>
              </w:rPr>
              <w:t>mFRR</w:t>
            </w:r>
            <w:proofErr w:type="spellEnd"/>
            <w:r w:rsidRPr="0030041C">
              <w:rPr>
                <w:rFonts w:ascii="Times New Roman" w:eastAsia="Times New Roman" w:hAnsi="Times New Roman" w:cs="Times New Roman"/>
                <w:sz w:val="24"/>
                <w:szCs w:val="24"/>
              </w:rPr>
              <w:t xml:space="preserve"> standarta produkta prasībām.</w:t>
            </w:r>
          </w:p>
        </w:tc>
      </w:tr>
      <w:tr w:rsidR="00F527BD" w14:paraId="38975AF8" w14:textId="77777777" w:rsidTr="00F527BD">
        <w:tc>
          <w:tcPr>
            <w:tcW w:w="1276" w:type="dxa"/>
          </w:tcPr>
          <w:p w14:paraId="60F32EAA" w14:textId="5829D31F" w:rsidR="00422A2A" w:rsidRPr="00941DA8" w:rsidRDefault="00422A2A" w:rsidP="00013652">
            <w:pPr>
              <w:pStyle w:val="Point0number"/>
              <w:numPr>
                <w:ilvl w:val="0"/>
                <w:numId w:val="7"/>
              </w:numPr>
              <w:tabs>
                <w:tab w:val="left" w:pos="720"/>
              </w:tabs>
              <w:spacing w:before="0" w:after="0"/>
              <w:jc w:val="center"/>
              <w:rPr>
                <w:rFonts w:eastAsia="Times New Roman"/>
                <w:b/>
                <w:bCs/>
                <w:szCs w:val="24"/>
                <w:lang w:val="en-US"/>
              </w:rPr>
            </w:pPr>
          </w:p>
        </w:tc>
        <w:tc>
          <w:tcPr>
            <w:tcW w:w="3890" w:type="dxa"/>
          </w:tcPr>
          <w:p w14:paraId="24016721" w14:textId="02592B05" w:rsidR="00422A2A" w:rsidRPr="00941DA8" w:rsidRDefault="00422A2A" w:rsidP="005A43AF">
            <w:pPr>
              <w:pStyle w:val="Point0number"/>
              <w:numPr>
                <w:ilvl w:val="0"/>
                <w:numId w:val="0"/>
              </w:numPr>
              <w:tabs>
                <w:tab w:val="left" w:pos="720"/>
              </w:tabs>
              <w:spacing w:before="0" w:after="0"/>
              <w:jc w:val="center"/>
              <w:rPr>
                <w:rFonts w:eastAsia="Times New Roman"/>
                <w:b/>
                <w:bCs/>
                <w:szCs w:val="24"/>
                <w:lang w:val="en-US"/>
              </w:rPr>
            </w:pPr>
            <w:proofErr w:type="spellStart"/>
            <w:r>
              <w:rPr>
                <w:rFonts w:eastAsia="Times New Roman"/>
                <w:b/>
                <w:bCs/>
                <w:szCs w:val="24"/>
                <w:lang w:val="en-US"/>
              </w:rPr>
              <w:t>aFRR</w:t>
            </w:r>
            <w:proofErr w:type="spellEnd"/>
            <w:r>
              <w:rPr>
                <w:rFonts w:eastAsia="Times New Roman"/>
                <w:b/>
                <w:bCs/>
                <w:szCs w:val="24"/>
                <w:lang w:val="en-US"/>
              </w:rPr>
              <w:t xml:space="preserve"> b</w:t>
            </w:r>
            <w:r w:rsidRPr="00941DA8">
              <w:rPr>
                <w:rFonts w:eastAsia="Times New Roman"/>
                <w:b/>
                <w:bCs/>
                <w:szCs w:val="24"/>
                <w:lang w:val="en-US"/>
              </w:rPr>
              <w:t>id activization</w:t>
            </w:r>
          </w:p>
        </w:tc>
        <w:tc>
          <w:tcPr>
            <w:tcW w:w="3760" w:type="dxa"/>
          </w:tcPr>
          <w:p w14:paraId="64DE20A6" w14:textId="07B291C2" w:rsidR="00422A2A" w:rsidRPr="0030041C" w:rsidRDefault="00422A2A" w:rsidP="005A43AF">
            <w:pPr>
              <w:jc w:val="center"/>
              <w:rPr>
                <w:rFonts w:ascii="Times New Roman" w:hAnsi="Times New Roman" w:cs="Times New Roman"/>
                <w:b/>
                <w:sz w:val="24"/>
                <w:szCs w:val="24"/>
              </w:rPr>
            </w:pPr>
            <w:proofErr w:type="spellStart"/>
            <w:r w:rsidRPr="0030041C">
              <w:rPr>
                <w:rFonts w:ascii="Times New Roman" w:eastAsia="Times New Roman" w:hAnsi="Times New Roman" w:cs="Times New Roman"/>
                <w:b/>
                <w:bCs/>
                <w:sz w:val="24"/>
                <w:szCs w:val="24"/>
                <w:lang w:val="en-US"/>
              </w:rPr>
              <w:t>aFRR</w:t>
            </w:r>
            <w:proofErr w:type="spellEnd"/>
            <w:r w:rsidRPr="0030041C">
              <w:rPr>
                <w:rFonts w:ascii="Times New Roman" w:eastAsia="Times New Roman" w:hAnsi="Times New Roman" w:cs="Times New Roman"/>
                <w:b/>
                <w:bCs/>
                <w:sz w:val="24"/>
                <w:szCs w:val="24"/>
                <w:lang w:val="en-US"/>
              </w:rPr>
              <w:t xml:space="preserve"> </w:t>
            </w:r>
            <w:proofErr w:type="spellStart"/>
            <w:r w:rsidRPr="0030041C">
              <w:rPr>
                <w:rFonts w:ascii="Times New Roman" w:eastAsia="Times New Roman" w:hAnsi="Times New Roman" w:cs="Times New Roman"/>
                <w:b/>
                <w:bCs/>
                <w:sz w:val="24"/>
                <w:szCs w:val="24"/>
                <w:lang w:val="en-US"/>
              </w:rPr>
              <w:t>solījumu</w:t>
            </w:r>
            <w:proofErr w:type="spellEnd"/>
            <w:r w:rsidRPr="0030041C">
              <w:rPr>
                <w:rFonts w:ascii="Times New Roman" w:eastAsia="Times New Roman" w:hAnsi="Times New Roman" w:cs="Times New Roman"/>
                <w:b/>
                <w:bCs/>
                <w:sz w:val="24"/>
                <w:szCs w:val="24"/>
                <w:lang w:val="en-US"/>
              </w:rPr>
              <w:t xml:space="preserve"> </w:t>
            </w:r>
            <w:proofErr w:type="spellStart"/>
            <w:r w:rsidRPr="0030041C">
              <w:rPr>
                <w:rFonts w:ascii="Times New Roman" w:eastAsia="Times New Roman" w:hAnsi="Times New Roman" w:cs="Times New Roman"/>
                <w:b/>
                <w:bCs/>
                <w:sz w:val="24"/>
                <w:szCs w:val="24"/>
                <w:lang w:val="en-US"/>
              </w:rPr>
              <w:t>aktivizēšana</w:t>
            </w:r>
            <w:proofErr w:type="spellEnd"/>
          </w:p>
        </w:tc>
      </w:tr>
      <w:tr w:rsidR="00F527BD" w14:paraId="0150F619" w14:textId="77777777" w:rsidTr="00F527BD">
        <w:tc>
          <w:tcPr>
            <w:tcW w:w="1276" w:type="dxa"/>
          </w:tcPr>
          <w:p w14:paraId="264C15F5" w14:textId="77777777" w:rsidR="00422A2A" w:rsidRPr="0030041C" w:rsidRDefault="00422A2A" w:rsidP="005A43AF">
            <w:pPr>
              <w:pStyle w:val="ListParagraph"/>
              <w:numPr>
                <w:ilvl w:val="1"/>
                <w:numId w:val="41"/>
              </w:numPr>
              <w:contextualSpacing w:val="0"/>
              <w:jc w:val="both"/>
              <w:rPr>
                <w:rFonts w:ascii="Times New Roman" w:eastAsia="SimSun" w:hAnsi="Times New Roman" w:cs="Times New Roman"/>
                <w:kern w:val="0"/>
                <w:sz w:val="24"/>
                <w:szCs w:val="24"/>
                <w:lang w:val="en-US" w:eastAsia="ar-SA"/>
                <w14:ligatures w14:val="none"/>
              </w:rPr>
            </w:pPr>
          </w:p>
        </w:tc>
        <w:tc>
          <w:tcPr>
            <w:tcW w:w="3890" w:type="dxa"/>
          </w:tcPr>
          <w:p w14:paraId="016F99F6" w14:textId="6C52246B" w:rsidR="00422A2A" w:rsidRPr="00013652" w:rsidRDefault="00422A2A" w:rsidP="00013652">
            <w:pPr>
              <w:jc w:val="both"/>
              <w:rPr>
                <w:rFonts w:eastAsia="SimSun"/>
                <w:szCs w:val="24"/>
                <w:lang w:val="en-US" w:eastAsia="ar-SA"/>
              </w:rPr>
            </w:pPr>
            <w:r w:rsidRPr="00013652">
              <w:rPr>
                <w:rFonts w:ascii="Times New Roman" w:eastAsia="SimSun" w:hAnsi="Times New Roman" w:cs="Times New Roman"/>
                <w:kern w:val="0"/>
                <w:sz w:val="24"/>
                <w:szCs w:val="24"/>
                <w:lang w:val="en-US" w:eastAsia="ar-SA"/>
                <w14:ligatures w14:val="none"/>
              </w:rPr>
              <w:t xml:space="preserve">The TSO shall use a single activation of the </w:t>
            </w:r>
            <w:proofErr w:type="spellStart"/>
            <w:r w:rsidRPr="00013652">
              <w:rPr>
                <w:rFonts w:ascii="Times New Roman" w:eastAsia="SimSun" w:hAnsi="Times New Roman" w:cs="Times New Roman"/>
                <w:kern w:val="0"/>
                <w:sz w:val="24"/>
                <w:szCs w:val="24"/>
                <w:lang w:val="en-US" w:eastAsia="ar-SA"/>
                <w14:ligatures w14:val="none"/>
              </w:rPr>
              <w:t>aFRR</w:t>
            </w:r>
            <w:proofErr w:type="spellEnd"/>
            <w:r w:rsidRPr="00013652">
              <w:rPr>
                <w:rFonts w:ascii="Times New Roman" w:eastAsia="SimSun" w:hAnsi="Times New Roman" w:cs="Times New Roman"/>
                <w:kern w:val="0"/>
                <w:sz w:val="24"/>
                <w:szCs w:val="24"/>
                <w:lang w:val="en-US" w:eastAsia="ar-SA"/>
                <w14:ligatures w14:val="none"/>
              </w:rPr>
              <w:t xml:space="preserve"> standard product.</w:t>
            </w:r>
          </w:p>
        </w:tc>
        <w:tc>
          <w:tcPr>
            <w:tcW w:w="3760" w:type="dxa"/>
          </w:tcPr>
          <w:p w14:paraId="317219B5" w14:textId="3C9F6126" w:rsidR="00422A2A" w:rsidRPr="0030041C" w:rsidDel="00850599" w:rsidRDefault="00422A2A" w:rsidP="005A43AF">
            <w:pPr>
              <w:jc w:val="both"/>
              <w:rPr>
                <w:rFonts w:ascii="Times New Roman" w:eastAsia="Times New Roman" w:hAnsi="Times New Roman" w:cs="Times New Roman"/>
                <w:b/>
                <w:bCs/>
                <w:sz w:val="24"/>
                <w:szCs w:val="24"/>
                <w:lang w:val="en-US"/>
              </w:rPr>
            </w:pPr>
            <w:r w:rsidRPr="0030041C">
              <w:rPr>
                <w:rFonts w:ascii="Times New Roman" w:eastAsia="Times New Roman" w:hAnsi="Times New Roman" w:cs="Times New Roman"/>
                <w:sz w:val="24"/>
                <w:szCs w:val="24"/>
                <w:lang w:val="en-US"/>
              </w:rPr>
              <w:t xml:space="preserve">PSO </w:t>
            </w:r>
            <w:proofErr w:type="spellStart"/>
            <w:r w:rsidRPr="0030041C">
              <w:rPr>
                <w:rFonts w:ascii="Times New Roman" w:eastAsia="Times New Roman" w:hAnsi="Times New Roman" w:cs="Times New Roman"/>
                <w:sz w:val="24"/>
                <w:szCs w:val="24"/>
                <w:lang w:val="en-US"/>
              </w:rPr>
              <w:t>izmanto</w:t>
            </w:r>
            <w:proofErr w:type="spellEnd"/>
            <w:r w:rsidRPr="0030041C">
              <w:rPr>
                <w:rFonts w:ascii="Times New Roman" w:eastAsia="Times New Roman" w:hAnsi="Times New Roman" w:cs="Times New Roman"/>
                <w:sz w:val="24"/>
                <w:szCs w:val="24"/>
                <w:lang w:val="en-US"/>
              </w:rPr>
              <w:t xml:space="preserve"> </w:t>
            </w:r>
            <w:proofErr w:type="spellStart"/>
            <w:r w:rsidRPr="0030041C">
              <w:rPr>
                <w:rFonts w:ascii="Times New Roman" w:eastAsia="Times New Roman" w:hAnsi="Times New Roman" w:cs="Times New Roman"/>
                <w:sz w:val="24"/>
                <w:szCs w:val="24"/>
                <w:lang w:val="en-US"/>
              </w:rPr>
              <w:t>viena</w:t>
            </w:r>
            <w:proofErr w:type="spellEnd"/>
            <w:r w:rsidRPr="0030041C">
              <w:rPr>
                <w:rFonts w:ascii="Times New Roman" w:eastAsia="Times New Roman" w:hAnsi="Times New Roman" w:cs="Times New Roman"/>
                <w:sz w:val="24"/>
                <w:szCs w:val="24"/>
                <w:lang w:val="en-US"/>
              </w:rPr>
              <w:t xml:space="preserve"> </w:t>
            </w:r>
            <w:proofErr w:type="spellStart"/>
            <w:r w:rsidRPr="0030041C">
              <w:rPr>
                <w:rFonts w:ascii="Times New Roman" w:eastAsia="Times New Roman" w:hAnsi="Times New Roman" w:cs="Times New Roman"/>
                <w:sz w:val="24"/>
                <w:szCs w:val="24"/>
                <w:lang w:val="en-US"/>
              </w:rPr>
              <w:t>veida</w:t>
            </w:r>
            <w:proofErr w:type="spellEnd"/>
            <w:r w:rsidRPr="0030041C">
              <w:rPr>
                <w:rFonts w:ascii="Times New Roman" w:eastAsia="Times New Roman" w:hAnsi="Times New Roman" w:cs="Times New Roman"/>
                <w:sz w:val="24"/>
                <w:szCs w:val="24"/>
                <w:lang w:val="en-US"/>
              </w:rPr>
              <w:t xml:space="preserve"> </w:t>
            </w:r>
            <w:proofErr w:type="spellStart"/>
            <w:r w:rsidRPr="0030041C">
              <w:rPr>
                <w:rFonts w:ascii="Times New Roman" w:eastAsia="Times New Roman" w:hAnsi="Times New Roman" w:cs="Times New Roman"/>
                <w:sz w:val="24"/>
                <w:szCs w:val="24"/>
                <w:lang w:val="en-US"/>
              </w:rPr>
              <w:t>aFRR</w:t>
            </w:r>
            <w:proofErr w:type="spellEnd"/>
            <w:r w:rsidRPr="0030041C">
              <w:rPr>
                <w:rFonts w:ascii="Times New Roman" w:eastAsia="Times New Roman" w:hAnsi="Times New Roman" w:cs="Times New Roman"/>
                <w:sz w:val="24"/>
                <w:szCs w:val="24"/>
                <w:lang w:val="en-US"/>
              </w:rPr>
              <w:t xml:space="preserve"> </w:t>
            </w:r>
            <w:proofErr w:type="spellStart"/>
            <w:r w:rsidRPr="0030041C">
              <w:rPr>
                <w:rFonts w:ascii="Times New Roman" w:eastAsia="Times New Roman" w:hAnsi="Times New Roman" w:cs="Times New Roman"/>
                <w:sz w:val="24"/>
                <w:szCs w:val="24"/>
                <w:lang w:val="en-US"/>
              </w:rPr>
              <w:t>standarta</w:t>
            </w:r>
            <w:proofErr w:type="spellEnd"/>
            <w:r w:rsidRPr="0030041C">
              <w:rPr>
                <w:rFonts w:ascii="Times New Roman" w:eastAsia="Times New Roman" w:hAnsi="Times New Roman" w:cs="Times New Roman"/>
                <w:sz w:val="24"/>
                <w:szCs w:val="24"/>
                <w:lang w:val="en-US"/>
              </w:rPr>
              <w:t xml:space="preserve"> </w:t>
            </w:r>
            <w:proofErr w:type="spellStart"/>
            <w:r w:rsidRPr="0030041C">
              <w:rPr>
                <w:rFonts w:ascii="Times New Roman" w:eastAsia="Times New Roman" w:hAnsi="Times New Roman" w:cs="Times New Roman"/>
                <w:sz w:val="24"/>
                <w:szCs w:val="24"/>
                <w:lang w:val="en-US"/>
              </w:rPr>
              <w:t>produkta</w:t>
            </w:r>
            <w:proofErr w:type="spellEnd"/>
            <w:r w:rsidRPr="0030041C">
              <w:rPr>
                <w:rFonts w:ascii="Times New Roman" w:eastAsia="Times New Roman" w:hAnsi="Times New Roman" w:cs="Times New Roman"/>
                <w:sz w:val="24"/>
                <w:szCs w:val="24"/>
                <w:lang w:val="en-US"/>
              </w:rPr>
              <w:t xml:space="preserve"> </w:t>
            </w:r>
            <w:proofErr w:type="spellStart"/>
            <w:r w:rsidRPr="0030041C">
              <w:rPr>
                <w:rFonts w:ascii="Times New Roman" w:eastAsia="Times New Roman" w:hAnsi="Times New Roman" w:cs="Times New Roman"/>
                <w:sz w:val="24"/>
                <w:szCs w:val="24"/>
                <w:lang w:val="en-US"/>
              </w:rPr>
              <w:t>aktivizāciju</w:t>
            </w:r>
            <w:proofErr w:type="spellEnd"/>
            <w:r w:rsidRPr="0030041C">
              <w:rPr>
                <w:rFonts w:ascii="Times New Roman" w:eastAsia="Times New Roman" w:hAnsi="Times New Roman" w:cs="Times New Roman"/>
                <w:sz w:val="24"/>
                <w:szCs w:val="24"/>
                <w:lang w:val="en-US"/>
              </w:rPr>
              <w:t>.</w:t>
            </w:r>
          </w:p>
        </w:tc>
      </w:tr>
      <w:tr w:rsidR="00F527BD" w14:paraId="57A10068" w14:textId="77777777" w:rsidTr="00F527BD">
        <w:tc>
          <w:tcPr>
            <w:tcW w:w="1276" w:type="dxa"/>
          </w:tcPr>
          <w:p w14:paraId="3D1A1C2E" w14:textId="77777777" w:rsidR="00422A2A" w:rsidRPr="0030041C" w:rsidRDefault="00422A2A" w:rsidP="005A43AF">
            <w:pPr>
              <w:pStyle w:val="ListParagraph"/>
              <w:numPr>
                <w:ilvl w:val="1"/>
                <w:numId w:val="41"/>
              </w:numPr>
              <w:contextualSpacing w:val="0"/>
              <w:jc w:val="both"/>
              <w:rPr>
                <w:rFonts w:ascii="Times New Roman" w:eastAsia="SimSun" w:hAnsi="Times New Roman" w:cs="Times New Roman"/>
                <w:kern w:val="0"/>
                <w:sz w:val="24"/>
                <w:szCs w:val="24"/>
                <w:lang w:val="en-US" w:eastAsia="ar-SA"/>
                <w14:ligatures w14:val="none"/>
              </w:rPr>
            </w:pPr>
          </w:p>
        </w:tc>
        <w:tc>
          <w:tcPr>
            <w:tcW w:w="3890" w:type="dxa"/>
          </w:tcPr>
          <w:p w14:paraId="1472B9A7" w14:textId="4FF31FDC" w:rsidR="00422A2A" w:rsidRPr="00013652" w:rsidRDefault="00422A2A" w:rsidP="00013652">
            <w:pPr>
              <w:jc w:val="both"/>
              <w:rPr>
                <w:rFonts w:eastAsia="SimSun"/>
                <w:szCs w:val="24"/>
                <w:lang w:val="en-US" w:eastAsia="ar-SA"/>
              </w:rPr>
            </w:pPr>
            <w:r w:rsidRPr="00013652">
              <w:rPr>
                <w:rFonts w:ascii="Times New Roman" w:eastAsia="SimSun" w:hAnsi="Times New Roman" w:cs="Times New Roman"/>
                <w:kern w:val="0"/>
                <w:sz w:val="24"/>
                <w:szCs w:val="24"/>
                <w:lang w:val="en-US" w:eastAsia="ar-SA"/>
                <w14:ligatures w14:val="none"/>
              </w:rPr>
              <w:t xml:space="preserve">The activation of bids for the </w:t>
            </w:r>
            <w:proofErr w:type="spellStart"/>
            <w:r w:rsidRPr="00013652">
              <w:rPr>
                <w:rFonts w:ascii="Times New Roman" w:eastAsia="SimSun" w:hAnsi="Times New Roman" w:cs="Times New Roman"/>
                <w:kern w:val="0"/>
                <w:sz w:val="24"/>
                <w:szCs w:val="24"/>
                <w:lang w:val="en-US" w:eastAsia="ar-SA"/>
                <w14:ligatures w14:val="none"/>
              </w:rPr>
              <w:t>aFRR</w:t>
            </w:r>
            <w:proofErr w:type="spellEnd"/>
            <w:r w:rsidRPr="00013652">
              <w:rPr>
                <w:rFonts w:ascii="Times New Roman" w:eastAsia="SimSun" w:hAnsi="Times New Roman" w:cs="Times New Roman"/>
                <w:kern w:val="0"/>
                <w:sz w:val="24"/>
                <w:szCs w:val="24"/>
                <w:lang w:val="en-US" w:eastAsia="ar-SA"/>
                <w14:ligatures w14:val="none"/>
              </w:rPr>
              <w:t xml:space="preserve"> standard product in the Bidding Area shall be performed </w:t>
            </w:r>
            <w:proofErr w:type="gramStart"/>
            <w:r w:rsidRPr="00013652">
              <w:rPr>
                <w:rFonts w:ascii="Times New Roman" w:eastAsia="SimSun" w:hAnsi="Times New Roman" w:cs="Times New Roman"/>
                <w:kern w:val="0"/>
                <w:sz w:val="24"/>
                <w:szCs w:val="24"/>
                <w:lang w:val="en-US" w:eastAsia="ar-SA"/>
                <w14:ligatures w14:val="none"/>
              </w:rPr>
              <w:t>as a result of</w:t>
            </w:r>
            <w:proofErr w:type="gramEnd"/>
            <w:r w:rsidRPr="00013652">
              <w:rPr>
                <w:rFonts w:ascii="Times New Roman" w:eastAsia="SimSun" w:hAnsi="Times New Roman" w:cs="Times New Roman"/>
                <w:kern w:val="0"/>
                <w:sz w:val="24"/>
                <w:szCs w:val="24"/>
                <w:lang w:val="en-US" w:eastAsia="ar-SA"/>
                <w14:ligatures w14:val="none"/>
              </w:rPr>
              <w:t xml:space="preserve"> the operation of the LFC Controller, including in connection with the PICASSO AOF as defined in the </w:t>
            </w:r>
            <w:proofErr w:type="spellStart"/>
            <w:r w:rsidRPr="00013652">
              <w:rPr>
                <w:rFonts w:ascii="Times New Roman" w:eastAsia="SimSun" w:hAnsi="Times New Roman" w:cs="Times New Roman"/>
                <w:kern w:val="0"/>
                <w:sz w:val="24"/>
                <w:szCs w:val="24"/>
                <w:lang w:val="en-US" w:eastAsia="ar-SA"/>
                <w14:ligatures w14:val="none"/>
              </w:rPr>
              <w:t>aFRR</w:t>
            </w:r>
            <w:proofErr w:type="spellEnd"/>
            <w:r w:rsidRPr="00013652">
              <w:rPr>
                <w:rFonts w:ascii="Times New Roman" w:eastAsia="SimSun" w:hAnsi="Times New Roman" w:cs="Times New Roman"/>
                <w:kern w:val="0"/>
                <w:sz w:val="24"/>
                <w:szCs w:val="24"/>
                <w:lang w:val="en-US" w:eastAsia="ar-SA"/>
                <w14:ligatures w14:val="none"/>
              </w:rPr>
              <w:t xml:space="preserve"> IF or in connection with another TSO where a cooperation agreement has been concluded in accordance with paragraph 2.4.  </w:t>
            </w:r>
          </w:p>
        </w:tc>
        <w:tc>
          <w:tcPr>
            <w:tcW w:w="3760" w:type="dxa"/>
          </w:tcPr>
          <w:p w14:paraId="1048E5B5" w14:textId="688E7F8A"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produkta solījumu aktivizāciju solīšanas zonā veic LFC kontroliera darbības rezultātā, tai skaitā savienojumā ar PICASSO AOF, kā noteikts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IF vai savienojumā ar citu PSO, ja ir noslēgts sadarbības līgums saskaņā ar 2.4. punktu. </w:t>
            </w:r>
          </w:p>
        </w:tc>
      </w:tr>
      <w:tr w:rsidR="00F527BD" w14:paraId="0A823FBB" w14:textId="77777777" w:rsidTr="00F527BD">
        <w:tc>
          <w:tcPr>
            <w:tcW w:w="1276" w:type="dxa"/>
          </w:tcPr>
          <w:p w14:paraId="025AC429" w14:textId="77777777" w:rsidR="00422A2A" w:rsidRPr="0030041C" w:rsidRDefault="00422A2A" w:rsidP="005A43AF">
            <w:pPr>
              <w:pStyle w:val="Point0number"/>
              <w:numPr>
                <w:ilvl w:val="1"/>
                <w:numId w:val="41"/>
              </w:numPr>
              <w:tabs>
                <w:tab w:val="left" w:pos="596"/>
              </w:tabs>
              <w:spacing w:before="0" w:after="0"/>
              <w:rPr>
                <w:rFonts w:eastAsia="Times New Roman"/>
                <w:szCs w:val="24"/>
                <w:lang w:val="en-US"/>
              </w:rPr>
            </w:pPr>
          </w:p>
        </w:tc>
        <w:tc>
          <w:tcPr>
            <w:tcW w:w="3890" w:type="dxa"/>
          </w:tcPr>
          <w:p w14:paraId="53D69FA9" w14:textId="2DB7E1B6" w:rsidR="00422A2A" w:rsidRPr="0030041C" w:rsidRDefault="00422A2A" w:rsidP="00013652">
            <w:pPr>
              <w:pStyle w:val="Point0number"/>
              <w:numPr>
                <w:ilvl w:val="0"/>
                <w:numId w:val="0"/>
              </w:numPr>
              <w:tabs>
                <w:tab w:val="left" w:pos="596"/>
              </w:tabs>
              <w:spacing w:before="0" w:after="0"/>
              <w:rPr>
                <w:rFonts w:eastAsia="Times New Roman"/>
                <w:szCs w:val="24"/>
                <w:lang w:val="en-US"/>
              </w:rPr>
            </w:pPr>
            <w:r w:rsidRPr="0030041C">
              <w:rPr>
                <w:rFonts w:eastAsia="Times New Roman"/>
                <w:szCs w:val="24"/>
                <w:lang w:val="en-US"/>
              </w:rPr>
              <w:t xml:space="preserve">The LFC controller shall pass the </w:t>
            </w:r>
            <w:proofErr w:type="spellStart"/>
            <w:r w:rsidRPr="0030041C">
              <w:rPr>
                <w:rFonts w:eastAsia="Times New Roman"/>
                <w:szCs w:val="24"/>
                <w:lang w:val="en-US"/>
              </w:rPr>
              <w:t>aFRR</w:t>
            </w:r>
            <w:proofErr w:type="spellEnd"/>
            <w:r w:rsidRPr="0030041C">
              <w:rPr>
                <w:rFonts w:eastAsia="Times New Roman"/>
                <w:szCs w:val="24"/>
                <w:lang w:val="en-US"/>
              </w:rPr>
              <w:t xml:space="preserve"> activation settings to the RNV.</w:t>
            </w:r>
          </w:p>
        </w:tc>
        <w:tc>
          <w:tcPr>
            <w:tcW w:w="3760" w:type="dxa"/>
          </w:tcPr>
          <w:p w14:paraId="6BB7F015" w14:textId="5EEDA9E4"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LFC kontrolieris nodod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aktivizācijas iestatījumus  RNV.</w:t>
            </w:r>
          </w:p>
        </w:tc>
      </w:tr>
      <w:tr w:rsidR="00F527BD" w14:paraId="6631690B" w14:textId="77777777" w:rsidTr="00F527BD">
        <w:tc>
          <w:tcPr>
            <w:tcW w:w="1276" w:type="dxa"/>
          </w:tcPr>
          <w:p w14:paraId="530D006E" w14:textId="77777777" w:rsidR="00422A2A" w:rsidRPr="003E2A99" w:rsidRDefault="00422A2A" w:rsidP="005A43AF">
            <w:pPr>
              <w:pStyle w:val="Point0number"/>
              <w:numPr>
                <w:ilvl w:val="1"/>
                <w:numId w:val="41"/>
              </w:numPr>
              <w:tabs>
                <w:tab w:val="left" w:pos="720"/>
              </w:tabs>
              <w:spacing w:before="0" w:after="0"/>
              <w:rPr>
                <w:rFonts w:eastAsia="Times New Roman"/>
                <w:szCs w:val="24"/>
                <w:lang w:val="en-US"/>
              </w:rPr>
            </w:pPr>
          </w:p>
        </w:tc>
        <w:tc>
          <w:tcPr>
            <w:tcW w:w="3890" w:type="dxa"/>
          </w:tcPr>
          <w:p w14:paraId="0BFF4258" w14:textId="6F23FF7B" w:rsidR="00422A2A" w:rsidRPr="0030041C" w:rsidRDefault="00422A2A" w:rsidP="00013652">
            <w:pPr>
              <w:pStyle w:val="Point0number"/>
              <w:numPr>
                <w:ilvl w:val="0"/>
                <w:numId w:val="0"/>
              </w:numPr>
              <w:tabs>
                <w:tab w:val="left" w:pos="720"/>
              </w:tabs>
              <w:spacing w:before="0" w:after="0"/>
              <w:rPr>
                <w:rFonts w:eastAsia="Times New Roman"/>
                <w:szCs w:val="24"/>
                <w:lang w:val="en-US"/>
              </w:rPr>
            </w:pPr>
            <w:r w:rsidRPr="003E2A99">
              <w:rPr>
                <w:rFonts w:eastAsia="Times New Roman"/>
                <w:szCs w:val="24"/>
                <w:lang w:val="en-US"/>
              </w:rPr>
              <w:t xml:space="preserve">Upon receipt of the </w:t>
            </w:r>
            <w:proofErr w:type="spellStart"/>
            <w:r w:rsidRPr="003E2A99">
              <w:rPr>
                <w:rFonts w:eastAsia="Times New Roman"/>
                <w:szCs w:val="24"/>
                <w:lang w:val="en-US"/>
              </w:rPr>
              <w:t>aFRR</w:t>
            </w:r>
            <w:proofErr w:type="spellEnd"/>
            <w:r w:rsidRPr="003E2A99">
              <w:rPr>
                <w:rFonts w:eastAsia="Times New Roman"/>
                <w:szCs w:val="24"/>
                <w:lang w:val="en-US"/>
              </w:rPr>
              <w:t xml:space="preserve"> activation setting, the RN</w:t>
            </w:r>
            <w:r>
              <w:rPr>
                <w:rFonts w:eastAsia="Times New Roman"/>
                <w:szCs w:val="24"/>
                <w:lang w:val="en-US"/>
              </w:rPr>
              <w:t>V</w:t>
            </w:r>
            <w:r w:rsidRPr="003E2A99">
              <w:rPr>
                <w:rFonts w:eastAsia="Times New Roman"/>
                <w:szCs w:val="24"/>
                <w:lang w:val="en-US"/>
              </w:rPr>
              <w:t xml:space="preserve"> shall provide an activation confirmation</w:t>
            </w:r>
            <w:r>
              <w:rPr>
                <w:rFonts w:eastAsia="Times New Roman"/>
                <w:szCs w:val="24"/>
                <w:lang w:val="en-US"/>
              </w:rPr>
              <w:t>.</w:t>
            </w:r>
          </w:p>
        </w:tc>
        <w:tc>
          <w:tcPr>
            <w:tcW w:w="3760" w:type="dxa"/>
          </w:tcPr>
          <w:p w14:paraId="5AA0CEFB" w14:textId="2BB20B92"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Pēc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aktivizācijas iestatījuma saņemšanas RNV sniedz aktivizācijas apstiprinājumu. </w:t>
            </w:r>
          </w:p>
        </w:tc>
      </w:tr>
      <w:tr w:rsidR="00F527BD" w14:paraId="60FBD394" w14:textId="77777777" w:rsidTr="00F527BD">
        <w:tc>
          <w:tcPr>
            <w:tcW w:w="1276" w:type="dxa"/>
          </w:tcPr>
          <w:p w14:paraId="1E0826C0" w14:textId="77777777" w:rsidR="00422A2A" w:rsidRPr="0030041C" w:rsidRDefault="00422A2A" w:rsidP="005A43AF">
            <w:pPr>
              <w:pStyle w:val="Point0number"/>
              <w:numPr>
                <w:ilvl w:val="1"/>
                <w:numId w:val="41"/>
              </w:numPr>
              <w:tabs>
                <w:tab w:val="left" w:pos="720"/>
              </w:tabs>
              <w:spacing w:before="0" w:after="0"/>
              <w:rPr>
                <w:rFonts w:eastAsia="Times New Roman"/>
                <w:szCs w:val="24"/>
                <w:lang w:val="en-US"/>
              </w:rPr>
            </w:pPr>
          </w:p>
        </w:tc>
        <w:tc>
          <w:tcPr>
            <w:tcW w:w="3890" w:type="dxa"/>
          </w:tcPr>
          <w:p w14:paraId="61054958" w14:textId="34D65859" w:rsidR="00422A2A" w:rsidRPr="0030041C" w:rsidRDefault="00422A2A" w:rsidP="00013652">
            <w:pPr>
              <w:pStyle w:val="Point0number"/>
              <w:numPr>
                <w:ilvl w:val="0"/>
                <w:numId w:val="0"/>
              </w:numPr>
              <w:tabs>
                <w:tab w:val="left" w:pos="720"/>
              </w:tabs>
              <w:spacing w:before="0" w:after="0"/>
              <w:rPr>
                <w:rFonts w:eastAsia="Times New Roman"/>
                <w:szCs w:val="24"/>
                <w:lang w:val="en-US"/>
              </w:rPr>
            </w:pPr>
            <w:proofErr w:type="spellStart"/>
            <w:r w:rsidRPr="0030041C">
              <w:rPr>
                <w:rFonts w:eastAsia="Times New Roman"/>
                <w:szCs w:val="24"/>
                <w:lang w:val="en-US"/>
              </w:rPr>
              <w:t>aFRR</w:t>
            </w:r>
            <w:proofErr w:type="spellEnd"/>
            <w:r w:rsidRPr="0030041C">
              <w:rPr>
                <w:rFonts w:eastAsia="Times New Roman"/>
                <w:szCs w:val="24"/>
                <w:lang w:val="en-US"/>
              </w:rPr>
              <w:t xml:space="preserve"> balancing product bids shall be activated at a minimum quantity of 0,1 MW and in increments of 0,1 MW up to a maximum bid quantity.</w:t>
            </w:r>
          </w:p>
        </w:tc>
        <w:tc>
          <w:tcPr>
            <w:tcW w:w="3760" w:type="dxa"/>
          </w:tcPr>
          <w:p w14:paraId="22DBB001" w14:textId="28BDE670"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regulēšanas produkta solījumus aktivizē minimālajā daudzumā 0,1 MW apmērā un ar soli 0,1 MW līdz maksimālajam solījuma daudzumam.</w:t>
            </w:r>
          </w:p>
        </w:tc>
      </w:tr>
      <w:tr w:rsidR="00F527BD" w14:paraId="04A1FAB4" w14:textId="77777777" w:rsidTr="00F527BD">
        <w:tc>
          <w:tcPr>
            <w:tcW w:w="1276" w:type="dxa"/>
          </w:tcPr>
          <w:p w14:paraId="157EB780" w14:textId="77777777" w:rsidR="00422A2A" w:rsidRPr="00961D56" w:rsidRDefault="00422A2A" w:rsidP="005A43AF">
            <w:pPr>
              <w:pStyle w:val="Point0number"/>
              <w:numPr>
                <w:ilvl w:val="1"/>
                <w:numId w:val="41"/>
              </w:numPr>
              <w:tabs>
                <w:tab w:val="left" w:pos="720"/>
              </w:tabs>
              <w:spacing w:before="0" w:after="0"/>
              <w:rPr>
                <w:rFonts w:eastAsia="Times New Roman"/>
                <w:szCs w:val="24"/>
                <w:lang w:val="en-US"/>
              </w:rPr>
            </w:pPr>
          </w:p>
        </w:tc>
        <w:tc>
          <w:tcPr>
            <w:tcW w:w="3890" w:type="dxa"/>
          </w:tcPr>
          <w:p w14:paraId="7B53E702" w14:textId="39C3541D" w:rsidR="00422A2A" w:rsidRPr="0030041C" w:rsidRDefault="00422A2A" w:rsidP="00013652">
            <w:pPr>
              <w:pStyle w:val="Point0number"/>
              <w:numPr>
                <w:ilvl w:val="0"/>
                <w:numId w:val="0"/>
              </w:numPr>
              <w:tabs>
                <w:tab w:val="left" w:pos="720"/>
              </w:tabs>
              <w:spacing w:before="0" w:after="0"/>
              <w:rPr>
                <w:rFonts w:eastAsia="Times New Roman"/>
                <w:szCs w:val="24"/>
                <w:lang w:val="en-US"/>
              </w:rPr>
            </w:pPr>
            <w:r w:rsidRPr="00961D56">
              <w:rPr>
                <w:rFonts w:eastAsia="Times New Roman"/>
                <w:szCs w:val="24"/>
                <w:lang w:val="en-US"/>
              </w:rPr>
              <w:t xml:space="preserve">the </w:t>
            </w:r>
            <w:proofErr w:type="spellStart"/>
            <w:r w:rsidRPr="00961D56">
              <w:rPr>
                <w:rFonts w:eastAsia="Times New Roman"/>
                <w:szCs w:val="24"/>
                <w:lang w:val="en-US"/>
              </w:rPr>
              <w:t>aFRR</w:t>
            </w:r>
            <w:proofErr w:type="spellEnd"/>
            <w:r w:rsidRPr="00961D56">
              <w:rPr>
                <w:rFonts w:eastAsia="Times New Roman"/>
                <w:szCs w:val="24"/>
                <w:lang w:val="en-US"/>
              </w:rPr>
              <w:t xml:space="preserve"> activation process shall be performed with a continuous data exchange and calculation cycle at </w:t>
            </w:r>
            <w:proofErr w:type="spellStart"/>
            <w:r w:rsidRPr="00961D56">
              <w:rPr>
                <w:rFonts w:eastAsia="Times New Roman"/>
                <w:szCs w:val="24"/>
                <w:lang w:val="en-US"/>
              </w:rPr>
              <w:t>aFRR</w:t>
            </w:r>
            <w:proofErr w:type="spellEnd"/>
            <w:r w:rsidRPr="00961D56">
              <w:rPr>
                <w:rFonts w:eastAsia="Times New Roman"/>
                <w:szCs w:val="24"/>
                <w:lang w:val="en-US"/>
              </w:rPr>
              <w:t xml:space="preserve"> MTU resolution</w:t>
            </w:r>
            <w:r>
              <w:rPr>
                <w:rFonts w:eastAsia="Times New Roman"/>
                <w:szCs w:val="24"/>
                <w:lang w:val="en-US"/>
              </w:rPr>
              <w:t>.</w:t>
            </w:r>
          </w:p>
        </w:tc>
        <w:tc>
          <w:tcPr>
            <w:tcW w:w="3760" w:type="dxa"/>
          </w:tcPr>
          <w:p w14:paraId="5CD22352" w14:textId="22AFA9CD"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aktivizācijas process noris ar pastāvīgu datu apmaiņas un aprēķinu ciklu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MTU izšķirtspējā.</w:t>
            </w:r>
          </w:p>
        </w:tc>
      </w:tr>
      <w:tr w:rsidR="00F527BD" w14:paraId="4F90DE15" w14:textId="77777777" w:rsidTr="00F527BD">
        <w:tc>
          <w:tcPr>
            <w:tcW w:w="1276" w:type="dxa"/>
          </w:tcPr>
          <w:p w14:paraId="2AB6D29C" w14:textId="77777777" w:rsidR="00422A2A" w:rsidRPr="004C56A4" w:rsidRDefault="00422A2A" w:rsidP="005A43AF">
            <w:pPr>
              <w:pStyle w:val="Point0number"/>
              <w:numPr>
                <w:ilvl w:val="1"/>
                <w:numId w:val="41"/>
              </w:numPr>
              <w:tabs>
                <w:tab w:val="left" w:pos="720"/>
              </w:tabs>
              <w:spacing w:before="0" w:after="0"/>
              <w:rPr>
                <w:rFonts w:eastAsia="Times New Roman"/>
                <w:szCs w:val="24"/>
                <w:lang w:val="en-US"/>
              </w:rPr>
            </w:pPr>
          </w:p>
        </w:tc>
        <w:tc>
          <w:tcPr>
            <w:tcW w:w="3890" w:type="dxa"/>
          </w:tcPr>
          <w:p w14:paraId="35DDA2E7" w14:textId="3952709C" w:rsidR="00422A2A" w:rsidRPr="0030041C" w:rsidRDefault="00422A2A" w:rsidP="00013652">
            <w:pPr>
              <w:pStyle w:val="Point0number"/>
              <w:numPr>
                <w:ilvl w:val="0"/>
                <w:numId w:val="0"/>
              </w:numPr>
              <w:tabs>
                <w:tab w:val="left" w:pos="720"/>
              </w:tabs>
              <w:spacing w:before="0" w:after="0"/>
              <w:rPr>
                <w:rFonts w:eastAsia="Times New Roman"/>
                <w:szCs w:val="24"/>
                <w:lang w:val="en-US"/>
              </w:rPr>
            </w:pPr>
            <w:proofErr w:type="spellStart"/>
            <w:r w:rsidRPr="004C56A4">
              <w:rPr>
                <w:rFonts w:eastAsia="Times New Roman"/>
                <w:szCs w:val="24"/>
                <w:lang w:val="en-US"/>
              </w:rPr>
              <w:t>aFRR</w:t>
            </w:r>
            <w:proofErr w:type="spellEnd"/>
            <w:r w:rsidRPr="004C56A4">
              <w:rPr>
                <w:rFonts w:eastAsia="Times New Roman"/>
                <w:szCs w:val="24"/>
                <w:lang w:val="en-US"/>
              </w:rPr>
              <w:t xml:space="preserve"> </w:t>
            </w:r>
            <w:proofErr w:type="spellStart"/>
            <w:r w:rsidRPr="004C56A4">
              <w:rPr>
                <w:rFonts w:eastAsia="Times New Roman"/>
                <w:szCs w:val="24"/>
                <w:lang w:val="en-US"/>
              </w:rPr>
              <w:t>standarta</w:t>
            </w:r>
            <w:proofErr w:type="spellEnd"/>
            <w:r w:rsidRPr="004C56A4">
              <w:rPr>
                <w:rFonts w:eastAsia="Times New Roman"/>
                <w:szCs w:val="24"/>
                <w:lang w:val="en-US"/>
              </w:rPr>
              <w:t xml:space="preserve"> </w:t>
            </w:r>
            <w:proofErr w:type="spellStart"/>
            <w:r w:rsidRPr="004C56A4">
              <w:rPr>
                <w:rFonts w:eastAsia="Times New Roman"/>
                <w:szCs w:val="24"/>
                <w:lang w:val="en-US"/>
              </w:rPr>
              <w:t>produkta</w:t>
            </w:r>
            <w:proofErr w:type="spellEnd"/>
            <w:r w:rsidRPr="004C56A4">
              <w:rPr>
                <w:rFonts w:eastAsia="Times New Roman"/>
                <w:szCs w:val="24"/>
                <w:lang w:val="en-US"/>
              </w:rPr>
              <w:t xml:space="preserve"> </w:t>
            </w:r>
            <w:proofErr w:type="spellStart"/>
            <w:r w:rsidRPr="004C56A4">
              <w:rPr>
                <w:rFonts w:eastAsia="Times New Roman"/>
                <w:szCs w:val="24"/>
                <w:lang w:val="en-US"/>
              </w:rPr>
              <w:t>solījums</w:t>
            </w:r>
            <w:proofErr w:type="spellEnd"/>
            <w:r w:rsidRPr="004C56A4">
              <w:rPr>
                <w:rFonts w:eastAsia="Times New Roman"/>
                <w:szCs w:val="24"/>
                <w:lang w:val="en-US"/>
              </w:rPr>
              <w:t xml:space="preserve"> var </w:t>
            </w:r>
            <w:proofErr w:type="spellStart"/>
            <w:r w:rsidRPr="004C56A4">
              <w:rPr>
                <w:rFonts w:eastAsia="Times New Roman"/>
                <w:szCs w:val="24"/>
                <w:lang w:val="en-US"/>
              </w:rPr>
              <w:t>tikt</w:t>
            </w:r>
            <w:proofErr w:type="spellEnd"/>
            <w:r w:rsidRPr="004C56A4">
              <w:rPr>
                <w:rFonts w:eastAsia="Times New Roman"/>
                <w:szCs w:val="24"/>
                <w:lang w:val="en-US"/>
              </w:rPr>
              <w:t xml:space="preserve"> </w:t>
            </w:r>
            <w:proofErr w:type="spellStart"/>
            <w:r w:rsidRPr="004C56A4">
              <w:rPr>
                <w:rFonts w:eastAsia="Times New Roman"/>
                <w:szCs w:val="24"/>
                <w:lang w:val="en-US"/>
              </w:rPr>
              <w:t>aktivizēts</w:t>
            </w:r>
            <w:proofErr w:type="spellEnd"/>
            <w:r w:rsidRPr="004C56A4">
              <w:rPr>
                <w:rFonts w:eastAsia="Times New Roman"/>
                <w:szCs w:val="24"/>
                <w:lang w:val="en-US"/>
              </w:rPr>
              <w:t xml:space="preserve"> </w:t>
            </w:r>
            <w:proofErr w:type="spellStart"/>
            <w:r w:rsidRPr="004C56A4">
              <w:rPr>
                <w:rFonts w:eastAsia="Times New Roman"/>
                <w:szCs w:val="24"/>
                <w:lang w:val="en-US"/>
              </w:rPr>
              <w:t>pilnībā</w:t>
            </w:r>
            <w:proofErr w:type="spellEnd"/>
            <w:r w:rsidRPr="004C56A4">
              <w:rPr>
                <w:rFonts w:eastAsia="Times New Roman"/>
                <w:szCs w:val="24"/>
                <w:lang w:val="en-US"/>
              </w:rPr>
              <w:t xml:space="preserve"> </w:t>
            </w:r>
            <w:proofErr w:type="spellStart"/>
            <w:r w:rsidRPr="004C56A4">
              <w:rPr>
                <w:rFonts w:eastAsia="Times New Roman"/>
                <w:szCs w:val="24"/>
                <w:lang w:val="en-US"/>
              </w:rPr>
              <w:t>vai</w:t>
            </w:r>
            <w:proofErr w:type="spellEnd"/>
            <w:r w:rsidRPr="004C56A4">
              <w:rPr>
                <w:rFonts w:eastAsia="Times New Roman"/>
                <w:szCs w:val="24"/>
                <w:lang w:val="en-US"/>
              </w:rPr>
              <w:t xml:space="preserve"> </w:t>
            </w:r>
            <w:proofErr w:type="spellStart"/>
            <w:r w:rsidRPr="004C56A4">
              <w:rPr>
                <w:rFonts w:eastAsia="Times New Roman"/>
                <w:szCs w:val="24"/>
                <w:lang w:val="en-US"/>
              </w:rPr>
              <w:t>daļēji</w:t>
            </w:r>
            <w:proofErr w:type="spellEnd"/>
            <w:r w:rsidRPr="004C56A4">
              <w:rPr>
                <w:rFonts w:eastAsia="Times New Roman"/>
                <w:szCs w:val="24"/>
                <w:lang w:val="en-US"/>
              </w:rPr>
              <w:t xml:space="preserve"> </w:t>
            </w:r>
            <w:proofErr w:type="spellStart"/>
            <w:r w:rsidRPr="004C56A4">
              <w:rPr>
                <w:rFonts w:eastAsia="Times New Roman"/>
                <w:szCs w:val="24"/>
                <w:lang w:val="en-US"/>
              </w:rPr>
              <w:t>derīguma</w:t>
            </w:r>
            <w:proofErr w:type="spellEnd"/>
            <w:r w:rsidRPr="004C56A4">
              <w:rPr>
                <w:rFonts w:eastAsia="Times New Roman"/>
                <w:szCs w:val="24"/>
                <w:lang w:val="en-US"/>
              </w:rPr>
              <w:t xml:space="preserve"> </w:t>
            </w:r>
            <w:proofErr w:type="spellStart"/>
            <w:r w:rsidRPr="004C56A4">
              <w:rPr>
                <w:rFonts w:eastAsia="Times New Roman"/>
                <w:szCs w:val="24"/>
                <w:lang w:val="en-US"/>
              </w:rPr>
              <w:t>perioda</w:t>
            </w:r>
            <w:proofErr w:type="spellEnd"/>
            <w:r w:rsidRPr="004C56A4">
              <w:rPr>
                <w:rFonts w:eastAsia="Times New Roman"/>
                <w:szCs w:val="24"/>
                <w:lang w:val="en-US"/>
              </w:rPr>
              <w:t xml:space="preserve"> </w:t>
            </w:r>
            <w:proofErr w:type="spellStart"/>
            <w:r w:rsidRPr="004C56A4">
              <w:rPr>
                <w:rFonts w:eastAsia="Times New Roman"/>
                <w:szCs w:val="24"/>
                <w:lang w:val="en-US"/>
              </w:rPr>
              <w:t>laikā</w:t>
            </w:r>
            <w:proofErr w:type="spellEnd"/>
            <w:r>
              <w:rPr>
                <w:rFonts w:eastAsia="Times New Roman"/>
                <w:szCs w:val="24"/>
                <w:lang w:val="en-US"/>
              </w:rPr>
              <w:t>.</w:t>
            </w:r>
          </w:p>
        </w:tc>
        <w:tc>
          <w:tcPr>
            <w:tcW w:w="3760" w:type="dxa"/>
          </w:tcPr>
          <w:p w14:paraId="12BF4A44" w14:textId="51E92576"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produkta solījums var tikt aktivizēts pilnībā vai daļēji derīguma perioda laikā</w:t>
            </w:r>
          </w:p>
        </w:tc>
      </w:tr>
      <w:tr w:rsidR="00F527BD" w14:paraId="4D027A2B" w14:textId="77777777" w:rsidTr="00F527BD">
        <w:trPr>
          <w:trHeight w:val="774"/>
        </w:trPr>
        <w:tc>
          <w:tcPr>
            <w:tcW w:w="1276" w:type="dxa"/>
          </w:tcPr>
          <w:p w14:paraId="0794719D" w14:textId="6FB54D69" w:rsidR="00422A2A" w:rsidRPr="002E15FB" w:rsidRDefault="00422A2A" w:rsidP="00013652">
            <w:pPr>
              <w:pStyle w:val="Point0number"/>
              <w:numPr>
                <w:ilvl w:val="1"/>
                <w:numId w:val="41"/>
              </w:numPr>
              <w:spacing w:before="0" w:after="0"/>
              <w:rPr>
                <w:rFonts w:eastAsia="Times New Roman"/>
                <w:szCs w:val="24"/>
                <w:lang w:val="en-US"/>
              </w:rPr>
            </w:pPr>
          </w:p>
        </w:tc>
        <w:tc>
          <w:tcPr>
            <w:tcW w:w="3890" w:type="dxa"/>
          </w:tcPr>
          <w:p w14:paraId="0876E38F" w14:textId="6BF00434" w:rsidR="00422A2A" w:rsidRPr="0030041C" w:rsidRDefault="00422A2A" w:rsidP="00013652">
            <w:pPr>
              <w:pStyle w:val="Point0number"/>
              <w:numPr>
                <w:ilvl w:val="0"/>
                <w:numId w:val="0"/>
              </w:numPr>
              <w:spacing w:before="0" w:after="0"/>
              <w:ind w:hanging="36"/>
              <w:rPr>
                <w:rFonts w:eastAsia="Times New Roman"/>
                <w:szCs w:val="24"/>
                <w:lang w:val="en-US"/>
              </w:rPr>
            </w:pPr>
            <w:r w:rsidRPr="002E15FB">
              <w:rPr>
                <w:rFonts w:eastAsia="Times New Roman"/>
                <w:szCs w:val="24"/>
                <w:lang w:val="en-US"/>
              </w:rPr>
              <w:t xml:space="preserve">If </w:t>
            </w:r>
            <w:proofErr w:type="spellStart"/>
            <w:r w:rsidRPr="002E15FB">
              <w:rPr>
                <w:rFonts w:eastAsia="Times New Roman"/>
                <w:szCs w:val="24"/>
                <w:lang w:val="en-US"/>
              </w:rPr>
              <w:t>aFRR</w:t>
            </w:r>
            <w:proofErr w:type="spellEnd"/>
            <w:r w:rsidRPr="002E15FB">
              <w:rPr>
                <w:rFonts w:eastAsia="Times New Roman"/>
                <w:szCs w:val="24"/>
                <w:lang w:val="en-US"/>
              </w:rPr>
              <w:t xml:space="preserve"> activation is performed, the TSO shall activate:</w:t>
            </w:r>
          </w:p>
        </w:tc>
        <w:tc>
          <w:tcPr>
            <w:tcW w:w="3760" w:type="dxa"/>
          </w:tcPr>
          <w:p w14:paraId="540488D7" w14:textId="0CC96E87" w:rsidR="00422A2A" w:rsidRDefault="00422A2A" w:rsidP="005A43AF">
            <w:pPr>
              <w:jc w:val="both"/>
            </w:pPr>
            <w:r w:rsidRPr="0030041C">
              <w:rPr>
                <w:rFonts w:ascii="Times New Roman" w:hAnsi="Times New Roman" w:cs="Times New Roman"/>
                <w:sz w:val="24"/>
                <w:szCs w:val="24"/>
              </w:rPr>
              <w:t xml:space="preserve">Ja tiek veikta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aktivizācija, PSO aktivizē:</w:t>
            </w:r>
          </w:p>
        </w:tc>
      </w:tr>
      <w:tr w:rsidR="00F527BD" w14:paraId="6D02AC5F" w14:textId="77777777" w:rsidTr="00F527BD">
        <w:trPr>
          <w:trHeight w:val="1376"/>
        </w:trPr>
        <w:tc>
          <w:tcPr>
            <w:tcW w:w="1276" w:type="dxa"/>
          </w:tcPr>
          <w:p w14:paraId="2F7819F0" w14:textId="6B7CF0BD" w:rsidR="00422A2A" w:rsidRPr="002E15FB" w:rsidRDefault="00013652" w:rsidP="005A43AF">
            <w:pPr>
              <w:pStyle w:val="Point0number"/>
              <w:numPr>
                <w:ilvl w:val="0"/>
                <w:numId w:val="0"/>
              </w:numPr>
              <w:spacing w:before="0" w:after="0"/>
              <w:ind w:left="454" w:hanging="425"/>
              <w:rPr>
                <w:rFonts w:eastAsia="Times New Roman"/>
                <w:szCs w:val="24"/>
                <w:lang w:val="en-US"/>
              </w:rPr>
            </w:pPr>
            <w:r>
              <w:rPr>
                <w:rFonts w:eastAsia="Times New Roman"/>
                <w:szCs w:val="24"/>
                <w:lang w:val="en-US"/>
              </w:rPr>
              <w:t>4.8.1.</w:t>
            </w:r>
          </w:p>
        </w:tc>
        <w:tc>
          <w:tcPr>
            <w:tcW w:w="3890" w:type="dxa"/>
          </w:tcPr>
          <w:p w14:paraId="5F3CDC48" w14:textId="49CB3651" w:rsidR="00422A2A" w:rsidRPr="002E15FB" w:rsidRDefault="00422A2A" w:rsidP="00013652">
            <w:pPr>
              <w:pStyle w:val="Point0number"/>
              <w:numPr>
                <w:ilvl w:val="0"/>
                <w:numId w:val="0"/>
              </w:numPr>
              <w:spacing w:before="0" w:after="0"/>
              <w:ind w:hanging="36"/>
              <w:rPr>
                <w:rFonts w:eastAsia="Times New Roman"/>
                <w:szCs w:val="24"/>
                <w:lang w:val="en-US"/>
              </w:rPr>
            </w:pPr>
            <w:r w:rsidRPr="002E15FB">
              <w:rPr>
                <w:rFonts w:eastAsia="Times New Roman"/>
                <w:szCs w:val="24"/>
                <w:lang w:val="en-US"/>
              </w:rPr>
              <w:t xml:space="preserve">the available </w:t>
            </w:r>
            <w:proofErr w:type="spellStart"/>
            <w:r w:rsidRPr="002E15FB">
              <w:rPr>
                <w:rFonts w:eastAsia="Times New Roman"/>
                <w:szCs w:val="24"/>
                <w:lang w:val="en-US"/>
              </w:rPr>
              <w:t>aFRR</w:t>
            </w:r>
            <w:proofErr w:type="spellEnd"/>
            <w:r w:rsidRPr="002E15FB">
              <w:rPr>
                <w:rFonts w:eastAsia="Times New Roman"/>
                <w:szCs w:val="24"/>
                <w:lang w:val="en-US"/>
              </w:rPr>
              <w:t xml:space="preserve"> standard product bids, starting from the lowest price for upward activation;</w:t>
            </w:r>
          </w:p>
          <w:p w14:paraId="439065F8" w14:textId="03452576" w:rsidR="00422A2A" w:rsidRPr="002E15FB" w:rsidRDefault="00422A2A" w:rsidP="005A43AF">
            <w:pPr>
              <w:pStyle w:val="Point0number"/>
              <w:numPr>
                <w:ilvl w:val="0"/>
                <w:numId w:val="0"/>
              </w:numPr>
              <w:spacing w:before="0" w:after="0"/>
              <w:ind w:left="454" w:hanging="425"/>
              <w:rPr>
                <w:rFonts w:eastAsia="Times New Roman"/>
                <w:szCs w:val="24"/>
                <w:lang w:val="en-US"/>
              </w:rPr>
            </w:pPr>
          </w:p>
        </w:tc>
        <w:tc>
          <w:tcPr>
            <w:tcW w:w="3760" w:type="dxa"/>
          </w:tcPr>
          <w:p w14:paraId="7CF209E1" w14:textId="77777777"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pieejamos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produktu solījumus, sākot ar zemāko cenu </w:t>
            </w:r>
            <w:proofErr w:type="spellStart"/>
            <w:r w:rsidRPr="0030041C">
              <w:rPr>
                <w:rFonts w:ascii="Times New Roman" w:hAnsi="Times New Roman" w:cs="Times New Roman"/>
                <w:sz w:val="24"/>
                <w:szCs w:val="24"/>
              </w:rPr>
              <w:t>augšupvērstai</w:t>
            </w:r>
            <w:proofErr w:type="spellEnd"/>
            <w:r w:rsidRPr="0030041C">
              <w:rPr>
                <w:rFonts w:ascii="Times New Roman" w:hAnsi="Times New Roman" w:cs="Times New Roman"/>
                <w:sz w:val="24"/>
                <w:szCs w:val="24"/>
              </w:rPr>
              <w:t xml:space="preserve"> aktivizēšanai;</w:t>
            </w:r>
          </w:p>
          <w:p w14:paraId="15A4C412" w14:textId="3D95E7A7" w:rsidR="00422A2A" w:rsidRPr="00224FAB" w:rsidRDefault="00422A2A" w:rsidP="005A43AF">
            <w:pPr>
              <w:jc w:val="both"/>
              <w:rPr>
                <w:rFonts w:ascii="Times New Roman" w:hAnsi="Times New Roman" w:cs="Times New Roman"/>
                <w:sz w:val="24"/>
                <w:szCs w:val="24"/>
              </w:rPr>
            </w:pPr>
          </w:p>
        </w:tc>
      </w:tr>
      <w:tr w:rsidR="00F527BD" w14:paraId="48E4FF3A" w14:textId="77777777" w:rsidTr="00F527BD">
        <w:trPr>
          <w:trHeight w:val="1376"/>
        </w:trPr>
        <w:tc>
          <w:tcPr>
            <w:tcW w:w="1276" w:type="dxa"/>
          </w:tcPr>
          <w:p w14:paraId="516DEDC4" w14:textId="7189D5D5" w:rsidR="00422A2A" w:rsidRPr="002E15FB" w:rsidRDefault="00013652" w:rsidP="005A43AF">
            <w:pPr>
              <w:pStyle w:val="Point0number"/>
              <w:numPr>
                <w:ilvl w:val="0"/>
                <w:numId w:val="0"/>
              </w:numPr>
              <w:spacing w:before="0" w:after="0"/>
              <w:ind w:left="454" w:hanging="425"/>
              <w:rPr>
                <w:rFonts w:eastAsia="Times New Roman"/>
                <w:szCs w:val="24"/>
                <w:lang w:val="en-US"/>
              </w:rPr>
            </w:pPr>
            <w:r>
              <w:rPr>
                <w:rFonts w:eastAsia="Times New Roman"/>
                <w:szCs w:val="24"/>
                <w:lang w:val="en-US"/>
              </w:rPr>
              <w:t>4.8.</w:t>
            </w:r>
            <w:r>
              <w:rPr>
                <w:rFonts w:eastAsia="Times New Roman"/>
                <w:szCs w:val="24"/>
                <w:lang w:val="en-US"/>
              </w:rPr>
              <w:t>2.</w:t>
            </w:r>
          </w:p>
        </w:tc>
        <w:tc>
          <w:tcPr>
            <w:tcW w:w="3890" w:type="dxa"/>
          </w:tcPr>
          <w:p w14:paraId="0EBACBC7" w14:textId="5FC26C19" w:rsidR="00422A2A" w:rsidRPr="002E15FB" w:rsidRDefault="00422A2A" w:rsidP="00013652">
            <w:pPr>
              <w:pStyle w:val="Point0number"/>
              <w:numPr>
                <w:ilvl w:val="0"/>
                <w:numId w:val="0"/>
              </w:numPr>
              <w:spacing w:before="0" w:after="0"/>
              <w:ind w:left="29"/>
              <w:rPr>
                <w:rFonts w:eastAsia="Times New Roman"/>
                <w:szCs w:val="24"/>
                <w:lang w:val="en-US"/>
              </w:rPr>
            </w:pPr>
            <w:r w:rsidRPr="002E15FB">
              <w:rPr>
                <w:rFonts w:eastAsia="Times New Roman"/>
                <w:szCs w:val="24"/>
                <w:lang w:val="en-US"/>
              </w:rPr>
              <w:t xml:space="preserve">the available </w:t>
            </w:r>
            <w:proofErr w:type="spellStart"/>
            <w:r w:rsidRPr="002E15FB">
              <w:rPr>
                <w:rFonts w:eastAsia="Times New Roman"/>
                <w:szCs w:val="24"/>
                <w:lang w:val="en-US"/>
              </w:rPr>
              <w:t>aFRR</w:t>
            </w:r>
            <w:proofErr w:type="spellEnd"/>
            <w:r w:rsidRPr="002E15FB">
              <w:rPr>
                <w:rFonts w:eastAsia="Times New Roman"/>
                <w:szCs w:val="24"/>
                <w:lang w:val="en-US"/>
              </w:rPr>
              <w:t xml:space="preserve"> standard product bids for, starting from the highest price for downward activation;</w:t>
            </w:r>
          </w:p>
          <w:p w14:paraId="1A9B9D71" w14:textId="0A60CFE6" w:rsidR="00422A2A" w:rsidRPr="002E15FB" w:rsidRDefault="00422A2A" w:rsidP="005A43AF">
            <w:pPr>
              <w:pStyle w:val="Point0number"/>
              <w:numPr>
                <w:ilvl w:val="0"/>
                <w:numId w:val="0"/>
              </w:numPr>
              <w:spacing w:before="0" w:after="0"/>
              <w:ind w:left="454" w:hanging="425"/>
              <w:rPr>
                <w:rFonts w:eastAsia="Times New Roman"/>
                <w:szCs w:val="24"/>
                <w:lang w:val="en-US"/>
              </w:rPr>
            </w:pPr>
          </w:p>
        </w:tc>
        <w:tc>
          <w:tcPr>
            <w:tcW w:w="3760" w:type="dxa"/>
          </w:tcPr>
          <w:p w14:paraId="3AE4BA80" w14:textId="77777777"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pieejamos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produktu solījumus, sākot ar augstāko cenu  lejupvērstai aktivizēšanai;</w:t>
            </w:r>
          </w:p>
          <w:p w14:paraId="5EF3C54D" w14:textId="18A5897A" w:rsidR="00422A2A" w:rsidRPr="00224FAB" w:rsidRDefault="00422A2A" w:rsidP="005A43AF">
            <w:pPr>
              <w:jc w:val="both"/>
              <w:rPr>
                <w:rFonts w:ascii="Times New Roman" w:hAnsi="Times New Roman" w:cs="Times New Roman"/>
                <w:sz w:val="24"/>
                <w:szCs w:val="24"/>
              </w:rPr>
            </w:pPr>
          </w:p>
        </w:tc>
      </w:tr>
      <w:tr w:rsidR="00F527BD" w14:paraId="73C80FD8" w14:textId="77777777" w:rsidTr="00F527BD">
        <w:trPr>
          <w:trHeight w:val="1376"/>
        </w:trPr>
        <w:tc>
          <w:tcPr>
            <w:tcW w:w="1276" w:type="dxa"/>
          </w:tcPr>
          <w:p w14:paraId="29BB6F4E" w14:textId="7519FBC0" w:rsidR="00422A2A" w:rsidRPr="002E15FB" w:rsidRDefault="00013652" w:rsidP="005A43AF">
            <w:pPr>
              <w:pStyle w:val="Point0number"/>
              <w:numPr>
                <w:ilvl w:val="0"/>
                <w:numId w:val="0"/>
              </w:numPr>
              <w:spacing w:before="0" w:after="0"/>
              <w:ind w:left="454" w:hanging="425"/>
              <w:rPr>
                <w:rFonts w:eastAsia="Times New Roman"/>
                <w:szCs w:val="24"/>
                <w:lang w:val="en-US"/>
              </w:rPr>
            </w:pPr>
            <w:r>
              <w:rPr>
                <w:rFonts w:eastAsia="Times New Roman"/>
                <w:szCs w:val="24"/>
                <w:lang w:val="en-US"/>
              </w:rPr>
              <w:t>4.8.</w:t>
            </w:r>
            <w:r>
              <w:rPr>
                <w:rFonts w:eastAsia="Times New Roman"/>
                <w:szCs w:val="24"/>
                <w:lang w:val="en-US"/>
              </w:rPr>
              <w:t>3.</w:t>
            </w:r>
          </w:p>
        </w:tc>
        <w:tc>
          <w:tcPr>
            <w:tcW w:w="3890" w:type="dxa"/>
          </w:tcPr>
          <w:p w14:paraId="14202F43" w14:textId="649B9170" w:rsidR="00422A2A" w:rsidRPr="002E15FB" w:rsidRDefault="00422A2A" w:rsidP="00013652">
            <w:pPr>
              <w:pStyle w:val="Point0number"/>
              <w:numPr>
                <w:ilvl w:val="0"/>
                <w:numId w:val="0"/>
              </w:numPr>
              <w:spacing w:before="0" w:after="0"/>
              <w:ind w:left="29"/>
              <w:rPr>
                <w:rFonts w:eastAsia="Times New Roman"/>
                <w:szCs w:val="24"/>
                <w:lang w:val="en-US"/>
              </w:rPr>
            </w:pPr>
            <w:r w:rsidRPr="002E15FB">
              <w:rPr>
                <w:rFonts w:eastAsia="Times New Roman"/>
                <w:szCs w:val="24"/>
                <w:lang w:val="en-US"/>
              </w:rPr>
              <w:t>all available bids at the same price, on a pro-rata basis (in proportion to the size of the bid) in cases where the best price principle is followed with multiple bids.</w:t>
            </w:r>
          </w:p>
        </w:tc>
        <w:tc>
          <w:tcPr>
            <w:tcW w:w="3760" w:type="dxa"/>
          </w:tcPr>
          <w:p w14:paraId="31C1D2FD" w14:textId="2197D4CE" w:rsidR="00422A2A" w:rsidRPr="00224FAB" w:rsidRDefault="00422A2A" w:rsidP="005A43AF">
            <w:pPr>
              <w:jc w:val="both"/>
              <w:rPr>
                <w:rFonts w:ascii="Times New Roman" w:hAnsi="Times New Roman" w:cs="Times New Roman"/>
                <w:sz w:val="24"/>
                <w:szCs w:val="24"/>
              </w:rPr>
            </w:pPr>
            <w:r w:rsidRPr="007D59B9">
              <w:rPr>
                <w:rFonts w:ascii="Times New Roman" w:hAnsi="Times New Roman" w:cs="Times New Roman"/>
                <w:sz w:val="24"/>
                <w:szCs w:val="24"/>
              </w:rPr>
              <w:t>visus pieejamos solījumus ar vienādu cenu, ievērojot proporcionalitātes (</w:t>
            </w:r>
            <w:proofErr w:type="spellStart"/>
            <w:r w:rsidRPr="007D59B9">
              <w:rPr>
                <w:rFonts w:ascii="Times New Roman" w:hAnsi="Times New Roman" w:cs="Times New Roman"/>
                <w:sz w:val="24"/>
                <w:szCs w:val="24"/>
              </w:rPr>
              <w:t>pro</w:t>
            </w:r>
            <w:proofErr w:type="spellEnd"/>
            <w:r w:rsidRPr="007D59B9">
              <w:rPr>
                <w:rFonts w:ascii="Times New Roman" w:hAnsi="Times New Roman" w:cs="Times New Roman"/>
                <w:sz w:val="24"/>
                <w:szCs w:val="24"/>
              </w:rPr>
              <w:t>-rata) principu (proporcionāli līdz solījuma apjomam) gadījumos, kad izdevīgākās cenas princips tiek ievērots ar vairākiem solījumiem.</w:t>
            </w:r>
          </w:p>
        </w:tc>
      </w:tr>
      <w:tr w:rsidR="00F527BD" w14:paraId="59B3DC5A" w14:textId="77777777" w:rsidTr="00F527BD">
        <w:trPr>
          <w:trHeight w:val="64"/>
        </w:trPr>
        <w:tc>
          <w:tcPr>
            <w:tcW w:w="1276" w:type="dxa"/>
          </w:tcPr>
          <w:p w14:paraId="0C0FF61D" w14:textId="77777777" w:rsidR="00422A2A" w:rsidRPr="0030041C" w:rsidRDefault="00422A2A" w:rsidP="005A43AF">
            <w:pPr>
              <w:pStyle w:val="Point0number"/>
              <w:numPr>
                <w:ilvl w:val="1"/>
                <w:numId w:val="42"/>
              </w:numPr>
              <w:tabs>
                <w:tab w:val="left" w:pos="720"/>
              </w:tabs>
              <w:spacing w:before="0" w:after="0"/>
              <w:rPr>
                <w:rFonts w:eastAsia="Times New Roman"/>
                <w:szCs w:val="24"/>
                <w:lang w:val="lv-LV"/>
              </w:rPr>
            </w:pPr>
          </w:p>
        </w:tc>
        <w:tc>
          <w:tcPr>
            <w:tcW w:w="3890" w:type="dxa"/>
          </w:tcPr>
          <w:p w14:paraId="535ED610" w14:textId="16A9D2FD" w:rsidR="00422A2A" w:rsidRPr="0030041C" w:rsidRDefault="00422A2A" w:rsidP="00013652">
            <w:pPr>
              <w:pStyle w:val="Point0number"/>
              <w:numPr>
                <w:ilvl w:val="0"/>
                <w:numId w:val="0"/>
              </w:numPr>
              <w:tabs>
                <w:tab w:val="left" w:pos="720"/>
              </w:tabs>
              <w:spacing w:before="0" w:after="0"/>
              <w:rPr>
                <w:rFonts w:eastAsia="Times New Roman"/>
                <w:szCs w:val="24"/>
                <w:lang w:val="lv-LV"/>
              </w:rPr>
            </w:pPr>
            <w:proofErr w:type="spellStart"/>
            <w:r w:rsidRPr="0030041C">
              <w:rPr>
                <w:rFonts w:eastAsia="Times New Roman"/>
                <w:szCs w:val="24"/>
                <w:lang w:val="lv-LV"/>
              </w:rPr>
              <w:t>aFRR</w:t>
            </w:r>
            <w:proofErr w:type="spellEnd"/>
            <w:r w:rsidRPr="0030041C">
              <w:rPr>
                <w:rFonts w:eastAsia="Times New Roman"/>
                <w:szCs w:val="24"/>
                <w:lang w:val="lv-LV"/>
              </w:rPr>
              <w:t xml:space="preserve"> standarta regulēšanas produkta solījumus neaktivizē pirms atbilstošā regulēšanas produkta solījumu iesniegšanas beigu laika (GCT), izņemot sistēmas trauksmes stāvokļa vai sistēmas ārkārtas stāvokļa gadījumos, lai mazinātu šo sistēmas stāvokļu nopietnību.</w:t>
            </w:r>
          </w:p>
        </w:tc>
        <w:tc>
          <w:tcPr>
            <w:tcW w:w="3760" w:type="dxa"/>
          </w:tcPr>
          <w:p w14:paraId="78471314" w14:textId="26A1E785"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standarta produkta solījumus neaktivizē pirms atbilstošā regulēšanas produkta solījumu iesniegšanas beigu laika (GCT), izņemot sistēmas trauksmes stāvokļa vai sistēmas ārkārtas stāvokļa gadījumos, lai mazinātu šo sistēmas stāvokļu nopietnību.</w:t>
            </w:r>
          </w:p>
        </w:tc>
      </w:tr>
      <w:tr w:rsidR="00F527BD" w14:paraId="52B41BAC" w14:textId="77777777" w:rsidTr="00F527BD">
        <w:trPr>
          <w:trHeight w:val="64"/>
        </w:trPr>
        <w:tc>
          <w:tcPr>
            <w:tcW w:w="1276" w:type="dxa"/>
          </w:tcPr>
          <w:p w14:paraId="430E981F" w14:textId="33B34499" w:rsidR="00422A2A" w:rsidRPr="001C049C" w:rsidRDefault="00422A2A" w:rsidP="00013652">
            <w:pPr>
              <w:pStyle w:val="Point0number"/>
              <w:numPr>
                <w:ilvl w:val="0"/>
                <w:numId w:val="42"/>
              </w:numPr>
              <w:tabs>
                <w:tab w:val="left" w:pos="720"/>
              </w:tabs>
              <w:spacing w:before="0" w:after="0"/>
              <w:jc w:val="center"/>
              <w:rPr>
                <w:rFonts w:eastAsia="Times New Roman"/>
                <w:b/>
                <w:bCs/>
                <w:szCs w:val="24"/>
                <w:lang w:val="lv-LV"/>
              </w:rPr>
            </w:pPr>
          </w:p>
        </w:tc>
        <w:tc>
          <w:tcPr>
            <w:tcW w:w="3890" w:type="dxa"/>
          </w:tcPr>
          <w:p w14:paraId="40A2184A" w14:textId="3B2F073B" w:rsidR="00422A2A" w:rsidRPr="0030041C" w:rsidRDefault="00422A2A" w:rsidP="005A43AF">
            <w:pPr>
              <w:pStyle w:val="Point0number"/>
              <w:numPr>
                <w:ilvl w:val="0"/>
                <w:numId w:val="0"/>
              </w:numPr>
              <w:tabs>
                <w:tab w:val="left" w:pos="720"/>
              </w:tabs>
              <w:spacing w:before="0" w:after="0"/>
              <w:jc w:val="center"/>
              <w:rPr>
                <w:rFonts w:eastAsia="Times New Roman"/>
                <w:b/>
                <w:bCs/>
                <w:szCs w:val="24"/>
                <w:lang w:val="lv-LV"/>
              </w:rPr>
            </w:pPr>
            <w:proofErr w:type="spellStart"/>
            <w:r w:rsidRPr="001C049C">
              <w:rPr>
                <w:rFonts w:eastAsia="Times New Roman"/>
                <w:b/>
                <w:bCs/>
                <w:szCs w:val="24"/>
                <w:lang w:val="lv-LV"/>
              </w:rPr>
              <w:t>mFRR</w:t>
            </w:r>
            <w:proofErr w:type="spellEnd"/>
            <w:r w:rsidRPr="001C049C">
              <w:rPr>
                <w:rFonts w:eastAsia="Times New Roman"/>
                <w:b/>
                <w:bCs/>
                <w:szCs w:val="24"/>
                <w:lang w:val="lv-LV"/>
              </w:rPr>
              <w:t xml:space="preserve"> </w:t>
            </w:r>
            <w:proofErr w:type="spellStart"/>
            <w:r w:rsidRPr="001C049C">
              <w:rPr>
                <w:rFonts w:eastAsia="Times New Roman"/>
                <w:b/>
                <w:bCs/>
                <w:szCs w:val="24"/>
                <w:lang w:val="lv-LV"/>
              </w:rPr>
              <w:t>bid</w:t>
            </w:r>
            <w:proofErr w:type="spellEnd"/>
            <w:r w:rsidRPr="001C049C">
              <w:rPr>
                <w:rFonts w:eastAsia="Times New Roman"/>
                <w:b/>
                <w:bCs/>
                <w:szCs w:val="24"/>
                <w:lang w:val="lv-LV"/>
              </w:rPr>
              <w:t xml:space="preserve"> </w:t>
            </w:r>
            <w:proofErr w:type="spellStart"/>
            <w:r w:rsidRPr="001C049C">
              <w:rPr>
                <w:rFonts w:eastAsia="Times New Roman"/>
                <w:b/>
                <w:bCs/>
                <w:szCs w:val="24"/>
                <w:lang w:val="lv-LV"/>
              </w:rPr>
              <w:t>activation</w:t>
            </w:r>
            <w:proofErr w:type="spellEnd"/>
          </w:p>
        </w:tc>
        <w:tc>
          <w:tcPr>
            <w:tcW w:w="3760" w:type="dxa"/>
          </w:tcPr>
          <w:p w14:paraId="258AA3A1" w14:textId="3E1883B9" w:rsidR="00422A2A" w:rsidRPr="0030041C" w:rsidRDefault="00422A2A" w:rsidP="005A43AF">
            <w:pPr>
              <w:jc w:val="center"/>
              <w:rPr>
                <w:rFonts w:ascii="Times New Roman" w:hAnsi="Times New Roman" w:cs="Times New Roman"/>
                <w:b/>
                <w:bCs/>
                <w:sz w:val="24"/>
                <w:szCs w:val="24"/>
              </w:rPr>
            </w:pPr>
            <w:proofErr w:type="spellStart"/>
            <w:r w:rsidRPr="0030041C">
              <w:rPr>
                <w:rFonts w:ascii="Times New Roman" w:hAnsi="Times New Roman" w:cs="Times New Roman"/>
                <w:b/>
                <w:bCs/>
                <w:sz w:val="24"/>
                <w:szCs w:val="24"/>
              </w:rPr>
              <w:t>mFRR</w:t>
            </w:r>
            <w:proofErr w:type="spellEnd"/>
            <w:r w:rsidRPr="0030041C">
              <w:rPr>
                <w:rFonts w:ascii="Times New Roman" w:hAnsi="Times New Roman" w:cs="Times New Roman"/>
                <w:b/>
                <w:bCs/>
                <w:sz w:val="24"/>
                <w:szCs w:val="24"/>
              </w:rPr>
              <w:t xml:space="preserve"> solījumu aktivizēšana</w:t>
            </w:r>
          </w:p>
        </w:tc>
      </w:tr>
      <w:tr w:rsidR="00F527BD" w14:paraId="3397A2F1" w14:textId="77777777" w:rsidTr="00F527BD">
        <w:trPr>
          <w:trHeight w:val="54"/>
        </w:trPr>
        <w:tc>
          <w:tcPr>
            <w:tcW w:w="1276" w:type="dxa"/>
          </w:tcPr>
          <w:p w14:paraId="5BBCEB98" w14:textId="353F8E46" w:rsidR="00422A2A" w:rsidRDefault="00013652" w:rsidP="005A43AF">
            <w:pPr>
              <w:pStyle w:val="Point0number"/>
              <w:numPr>
                <w:ilvl w:val="0"/>
                <w:numId w:val="0"/>
              </w:numPr>
              <w:tabs>
                <w:tab w:val="left" w:pos="720"/>
              </w:tabs>
              <w:spacing w:before="0" w:after="0"/>
              <w:rPr>
                <w:rFonts w:eastAsia="Times New Roman"/>
                <w:szCs w:val="24"/>
                <w:lang w:val="en-US"/>
              </w:rPr>
            </w:pPr>
            <w:r>
              <w:rPr>
                <w:rFonts w:eastAsia="Times New Roman"/>
                <w:szCs w:val="24"/>
                <w:lang w:val="en-US"/>
              </w:rPr>
              <w:t xml:space="preserve">5.1. </w:t>
            </w:r>
          </w:p>
        </w:tc>
        <w:tc>
          <w:tcPr>
            <w:tcW w:w="3890" w:type="dxa"/>
          </w:tcPr>
          <w:p w14:paraId="35D5A200" w14:textId="637169E2" w:rsidR="00422A2A" w:rsidRPr="00B206C8" w:rsidRDefault="00422A2A" w:rsidP="005A43AF">
            <w:pPr>
              <w:pStyle w:val="Point0number"/>
              <w:numPr>
                <w:ilvl w:val="0"/>
                <w:numId w:val="0"/>
              </w:numPr>
              <w:tabs>
                <w:tab w:val="left" w:pos="720"/>
              </w:tabs>
              <w:spacing w:before="0" w:after="0"/>
              <w:rPr>
                <w:rFonts w:eastAsia="Times New Roman"/>
                <w:szCs w:val="24"/>
                <w:lang w:val="en-US"/>
              </w:rPr>
            </w:pPr>
            <w:r w:rsidRPr="00B206C8">
              <w:rPr>
                <w:rFonts w:eastAsia="Times New Roman"/>
                <w:szCs w:val="24"/>
                <w:lang w:val="en-US"/>
              </w:rPr>
              <w:t xml:space="preserve">TSO use following </w:t>
            </w:r>
            <w:proofErr w:type="spellStart"/>
            <w:r>
              <w:rPr>
                <w:rFonts w:eastAsia="Times New Roman"/>
                <w:szCs w:val="24"/>
                <w:lang w:val="en-US"/>
              </w:rPr>
              <w:t>mFRR</w:t>
            </w:r>
            <w:proofErr w:type="spellEnd"/>
            <w:r>
              <w:rPr>
                <w:rFonts w:eastAsia="Times New Roman"/>
                <w:szCs w:val="24"/>
                <w:lang w:val="en-US"/>
              </w:rPr>
              <w:t xml:space="preserve"> standard product </w:t>
            </w:r>
            <w:r w:rsidRPr="00B206C8">
              <w:rPr>
                <w:rFonts w:eastAsia="Times New Roman"/>
                <w:szCs w:val="24"/>
                <w:lang w:val="en-US"/>
              </w:rPr>
              <w:t xml:space="preserve">activization types: </w:t>
            </w:r>
          </w:p>
        </w:tc>
        <w:tc>
          <w:tcPr>
            <w:tcW w:w="3760" w:type="dxa"/>
          </w:tcPr>
          <w:p w14:paraId="5FB4BBDB" w14:textId="4FE0A906" w:rsidR="00422A2A" w:rsidRPr="005737D8" w:rsidRDefault="00422A2A" w:rsidP="005A43AF">
            <w:pPr>
              <w:jc w:val="both"/>
            </w:pPr>
            <w:r w:rsidRPr="0030041C">
              <w:rPr>
                <w:rFonts w:ascii="Times New Roman" w:eastAsia="Times New Roman" w:hAnsi="Times New Roman" w:cs="Times New Roman"/>
                <w:sz w:val="24"/>
                <w:szCs w:val="24"/>
              </w:rPr>
              <w:t xml:space="preserve">PSO izmanto šādus </w:t>
            </w:r>
            <w:proofErr w:type="spellStart"/>
            <w:r w:rsidRPr="0030041C">
              <w:rPr>
                <w:rFonts w:ascii="Times New Roman" w:eastAsia="Times New Roman" w:hAnsi="Times New Roman" w:cs="Times New Roman"/>
                <w:sz w:val="24"/>
                <w:szCs w:val="24"/>
              </w:rPr>
              <w:t>mFRR</w:t>
            </w:r>
            <w:proofErr w:type="spellEnd"/>
            <w:r w:rsidRPr="0030041C">
              <w:rPr>
                <w:rFonts w:ascii="Times New Roman" w:eastAsia="Times New Roman" w:hAnsi="Times New Roman" w:cs="Times New Roman"/>
                <w:sz w:val="24"/>
                <w:szCs w:val="24"/>
              </w:rPr>
              <w:t xml:space="preserve"> standarta produkta aktivizāciju veidus:</w:t>
            </w:r>
          </w:p>
        </w:tc>
      </w:tr>
      <w:tr w:rsidR="00F527BD" w14:paraId="774D91F8" w14:textId="77777777" w:rsidTr="00F527BD">
        <w:trPr>
          <w:trHeight w:val="612"/>
        </w:trPr>
        <w:tc>
          <w:tcPr>
            <w:tcW w:w="1276" w:type="dxa"/>
          </w:tcPr>
          <w:p w14:paraId="1797672A" w14:textId="05FB6E76" w:rsidR="00422A2A" w:rsidRDefault="00013652" w:rsidP="00013652">
            <w:pPr>
              <w:pStyle w:val="Point0number"/>
              <w:numPr>
                <w:ilvl w:val="0"/>
                <w:numId w:val="0"/>
              </w:numPr>
              <w:tabs>
                <w:tab w:val="left" w:pos="720"/>
              </w:tabs>
              <w:spacing w:before="0" w:after="0"/>
              <w:ind w:left="850" w:hanging="850"/>
              <w:jc w:val="center"/>
              <w:rPr>
                <w:rFonts w:eastAsia="Times New Roman"/>
                <w:szCs w:val="24"/>
                <w:lang w:val="en-US"/>
              </w:rPr>
            </w:pPr>
            <w:r>
              <w:rPr>
                <w:rFonts w:eastAsia="Times New Roman"/>
                <w:szCs w:val="24"/>
                <w:lang w:val="en-US"/>
              </w:rPr>
              <w:t>5.1.1.</w:t>
            </w:r>
          </w:p>
        </w:tc>
        <w:tc>
          <w:tcPr>
            <w:tcW w:w="3890" w:type="dxa"/>
          </w:tcPr>
          <w:p w14:paraId="3F95A55C" w14:textId="009A885E" w:rsidR="00422A2A" w:rsidRPr="00B206C8" w:rsidRDefault="00422A2A" w:rsidP="00013652">
            <w:pPr>
              <w:pStyle w:val="Point0number"/>
              <w:numPr>
                <w:ilvl w:val="0"/>
                <w:numId w:val="0"/>
              </w:numPr>
              <w:tabs>
                <w:tab w:val="left" w:pos="720"/>
              </w:tabs>
              <w:spacing w:before="0" w:after="0"/>
              <w:rPr>
                <w:rFonts w:eastAsia="Times New Roman"/>
                <w:szCs w:val="24"/>
                <w:lang w:val="en-US"/>
              </w:rPr>
            </w:pPr>
            <w:proofErr w:type="spellStart"/>
            <w:r>
              <w:rPr>
                <w:rFonts w:eastAsia="Times New Roman"/>
                <w:szCs w:val="24"/>
                <w:lang w:val="en-US"/>
              </w:rPr>
              <w:t>mFRR</w:t>
            </w:r>
            <w:proofErr w:type="spellEnd"/>
            <w:r>
              <w:rPr>
                <w:rFonts w:eastAsia="Times New Roman"/>
                <w:szCs w:val="24"/>
                <w:lang w:val="en-US"/>
              </w:rPr>
              <w:t xml:space="preserve"> standard product </w:t>
            </w:r>
            <w:r w:rsidRPr="00B206C8">
              <w:rPr>
                <w:rFonts w:eastAsia="Times New Roman"/>
                <w:szCs w:val="24"/>
                <w:lang w:val="en-US"/>
              </w:rPr>
              <w:t>normal activization;</w:t>
            </w:r>
          </w:p>
          <w:p w14:paraId="439B53F3" w14:textId="5416EC24" w:rsidR="00422A2A" w:rsidRDefault="00422A2A" w:rsidP="005A43AF">
            <w:pPr>
              <w:pStyle w:val="Point0number"/>
              <w:numPr>
                <w:ilvl w:val="0"/>
                <w:numId w:val="0"/>
              </w:numPr>
              <w:tabs>
                <w:tab w:val="left" w:pos="720"/>
              </w:tabs>
              <w:spacing w:before="0" w:after="0"/>
              <w:ind w:left="454"/>
              <w:rPr>
                <w:rFonts w:eastAsia="Times New Roman"/>
                <w:szCs w:val="24"/>
                <w:lang w:val="en-US"/>
              </w:rPr>
            </w:pPr>
          </w:p>
        </w:tc>
        <w:tc>
          <w:tcPr>
            <w:tcW w:w="3760" w:type="dxa"/>
          </w:tcPr>
          <w:p w14:paraId="6803D258" w14:textId="77777777" w:rsidR="00422A2A" w:rsidRPr="0030041C" w:rsidRDefault="00422A2A" w:rsidP="005A43AF">
            <w:pPr>
              <w:ind w:left="423" w:right="31"/>
              <w:jc w:val="both"/>
              <w:rPr>
                <w:rFonts w:ascii="Times New Roman" w:eastAsia="Times New Roman" w:hAnsi="Times New Roman" w:cs="Times New Roman"/>
                <w:sz w:val="24"/>
                <w:szCs w:val="24"/>
              </w:rPr>
            </w:pPr>
            <w:proofErr w:type="spellStart"/>
            <w:r w:rsidRPr="0030041C">
              <w:rPr>
                <w:rFonts w:ascii="Times New Roman" w:eastAsia="Times New Roman" w:hAnsi="Times New Roman" w:cs="Times New Roman"/>
                <w:sz w:val="24"/>
                <w:szCs w:val="24"/>
              </w:rPr>
              <w:t>mFRR</w:t>
            </w:r>
            <w:proofErr w:type="spellEnd"/>
            <w:r w:rsidRPr="0030041C">
              <w:rPr>
                <w:rFonts w:ascii="Times New Roman" w:eastAsia="Times New Roman" w:hAnsi="Times New Roman" w:cs="Times New Roman"/>
                <w:sz w:val="24"/>
                <w:szCs w:val="24"/>
              </w:rPr>
              <w:t xml:space="preserve"> standarta produkta normālā aktivizācija;</w:t>
            </w:r>
          </w:p>
          <w:p w14:paraId="38F05730" w14:textId="7B6B8D6B" w:rsidR="00422A2A" w:rsidRPr="005737D8" w:rsidDel="00850599" w:rsidRDefault="00422A2A" w:rsidP="005A43AF">
            <w:pPr>
              <w:ind w:left="423"/>
              <w:jc w:val="both"/>
              <w:rPr>
                <w:rFonts w:ascii="Times New Roman" w:eastAsia="Times New Roman" w:hAnsi="Times New Roman" w:cs="Times New Roman"/>
                <w:sz w:val="24"/>
                <w:szCs w:val="24"/>
              </w:rPr>
            </w:pPr>
          </w:p>
        </w:tc>
      </w:tr>
      <w:tr w:rsidR="00F527BD" w14:paraId="3757EBFC" w14:textId="77777777" w:rsidTr="00F527BD">
        <w:trPr>
          <w:trHeight w:val="612"/>
        </w:trPr>
        <w:tc>
          <w:tcPr>
            <w:tcW w:w="1276" w:type="dxa"/>
          </w:tcPr>
          <w:p w14:paraId="6CCFF360" w14:textId="0B62BAF8" w:rsidR="00422A2A" w:rsidRDefault="00013652" w:rsidP="00013652">
            <w:pPr>
              <w:pStyle w:val="Point0number"/>
              <w:numPr>
                <w:ilvl w:val="0"/>
                <w:numId w:val="0"/>
              </w:numPr>
              <w:tabs>
                <w:tab w:val="left" w:pos="720"/>
              </w:tabs>
              <w:spacing w:before="0" w:after="0"/>
              <w:ind w:left="850" w:hanging="850"/>
              <w:jc w:val="center"/>
              <w:rPr>
                <w:rFonts w:eastAsia="Times New Roman"/>
                <w:szCs w:val="24"/>
                <w:lang w:val="en-US"/>
              </w:rPr>
            </w:pPr>
            <w:r>
              <w:rPr>
                <w:rFonts w:eastAsia="Times New Roman"/>
                <w:szCs w:val="24"/>
                <w:lang w:val="en-US"/>
              </w:rPr>
              <w:t>5.1.</w:t>
            </w:r>
            <w:r>
              <w:rPr>
                <w:rFonts w:eastAsia="Times New Roman"/>
                <w:szCs w:val="24"/>
                <w:lang w:val="en-US"/>
              </w:rPr>
              <w:t>2</w:t>
            </w:r>
            <w:r>
              <w:rPr>
                <w:rFonts w:eastAsia="Times New Roman"/>
                <w:szCs w:val="24"/>
                <w:lang w:val="en-US"/>
              </w:rPr>
              <w:t>.</w:t>
            </w:r>
          </w:p>
        </w:tc>
        <w:tc>
          <w:tcPr>
            <w:tcW w:w="3890" w:type="dxa"/>
          </w:tcPr>
          <w:p w14:paraId="0E6E0EB4" w14:textId="41AC2AD9" w:rsidR="00422A2A" w:rsidRPr="00B206C8" w:rsidRDefault="00422A2A" w:rsidP="00013652">
            <w:pPr>
              <w:pStyle w:val="Point0number"/>
              <w:numPr>
                <w:ilvl w:val="0"/>
                <w:numId w:val="0"/>
              </w:numPr>
              <w:tabs>
                <w:tab w:val="left" w:pos="720"/>
              </w:tabs>
              <w:spacing w:before="0" w:after="0"/>
              <w:rPr>
                <w:rFonts w:eastAsia="Times New Roman"/>
                <w:szCs w:val="24"/>
                <w:lang w:val="en-US"/>
              </w:rPr>
            </w:pPr>
            <w:proofErr w:type="spellStart"/>
            <w:r>
              <w:rPr>
                <w:rFonts w:eastAsia="Times New Roman"/>
                <w:szCs w:val="24"/>
                <w:lang w:val="en-US"/>
              </w:rPr>
              <w:t>mFRR</w:t>
            </w:r>
            <w:proofErr w:type="spellEnd"/>
            <w:r>
              <w:rPr>
                <w:rFonts w:eastAsia="Times New Roman"/>
                <w:szCs w:val="24"/>
                <w:lang w:val="en-US"/>
              </w:rPr>
              <w:t xml:space="preserve"> standard </w:t>
            </w:r>
            <w:proofErr w:type="spellStart"/>
            <w:r>
              <w:rPr>
                <w:rFonts w:eastAsia="Times New Roman"/>
                <w:szCs w:val="24"/>
                <w:lang w:val="en-US"/>
              </w:rPr>
              <w:t>produc</w:t>
            </w:r>
            <w:r w:rsidRPr="00B206C8">
              <w:rPr>
                <w:rFonts w:eastAsia="Times New Roman"/>
                <w:szCs w:val="24"/>
                <w:lang w:val="en-US"/>
              </w:rPr>
              <w:t>normal</w:t>
            </w:r>
            <w:proofErr w:type="spellEnd"/>
            <w:r w:rsidRPr="00B206C8">
              <w:rPr>
                <w:rFonts w:eastAsia="Times New Roman"/>
                <w:szCs w:val="24"/>
                <w:lang w:val="en-US"/>
              </w:rPr>
              <w:t xml:space="preserve"> local activization;</w:t>
            </w:r>
          </w:p>
          <w:p w14:paraId="75E5C682" w14:textId="52AD7116" w:rsidR="00422A2A" w:rsidRDefault="00422A2A" w:rsidP="005A43AF">
            <w:pPr>
              <w:pStyle w:val="Point0number"/>
              <w:numPr>
                <w:ilvl w:val="0"/>
                <w:numId w:val="0"/>
              </w:numPr>
              <w:tabs>
                <w:tab w:val="left" w:pos="720"/>
              </w:tabs>
              <w:spacing w:before="0" w:after="0"/>
              <w:ind w:left="454"/>
              <w:rPr>
                <w:rFonts w:eastAsia="Times New Roman"/>
                <w:szCs w:val="24"/>
                <w:lang w:val="en-US"/>
              </w:rPr>
            </w:pPr>
          </w:p>
        </w:tc>
        <w:tc>
          <w:tcPr>
            <w:tcW w:w="3760" w:type="dxa"/>
          </w:tcPr>
          <w:p w14:paraId="681D2AD8" w14:textId="77777777" w:rsidR="00422A2A" w:rsidRPr="0030041C" w:rsidRDefault="00422A2A" w:rsidP="005A43AF">
            <w:pPr>
              <w:ind w:left="423" w:right="31"/>
              <w:jc w:val="both"/>
              <w:rPr>
                <w:rFonts w:ascii="Times New Roman" w:eastAsia="Times New Roman" w:hAnsi="Times New Roman" w:cs="Times New Roman"/>
                <w:sz w:val="24"/>
                <w:szCs w:val="24"/>
              </w:rPr>
            </w:pPr>
            <w:proofErr w:type="spellStart"/>
            <w:r w:rsidRPr="0030041C">
              <w:rPr>
                <w:rFonts w:ascii="Times New Roman" w:eastAsia="Times New Roman" w:hAnsi="Times New Roman" w:cs="Times New Roman"/>
                <w:sz w:val="24"/>
                <w:szCs w:val="24"/>
              </w:rPr>
              <w:lastRenderedPageBreak/>
              <w:t>mFRR</w:t>
            </w:r>
            <w:proofErr w:type="spellEnd"/>
            <w:r w:rsidRPr="0030041C">
              <w:rPr>
                <w:rFonts w:ascii="Times New Roman" w:eastAsia="Times New Roman" w:hAnsi="Times New Roman" w:cs="Times New Roman"/>
                <w:sz w:val="24"/>
                <w:szCs w:val="24"/>
              </w:rPr>
              <w:t xml:space="preserve"> standarta produkta normālā lokālā aktivizācija;</w:t>
            </w:r>
          </w:p>
          <w:p w14:paraId="0AFD6D54" w14:textId="7E353042" w:rsidR="00422A2A" w:rsidRPr="005737D8" w:rsidDel="00850599" w:rsidRDefault="00422A2A" w:rsidP="005A43AF">
            <w:pPr>
              <w:ind w:left="423"/>
              <w:jc w:val="both"/>
              <w:rPr>
                <w:rFonts w:ascii="Times New Roman" w:eastAsia="Times New Roman" w:hAnsi="Times New Roman" w:cs="Times New Roman"/>
                <w:sz w:val="24"/>
                <w:szCs w:val="24"/>
              </w:rPr>
            </w:pPr>
          </w:p>
        </w:tc>
      </w:tr>
      <w:tr w:rsidR="00F527BD" w14:paraId="1F5AB2E5" w14:textId="77777777" w:rsidTr="00F527BD">
        <w:trPr>
          <w:trHeight w:val="612"/>
        </w:trPr>
        <w:tc>
          <w:tcPr>
            <w:tcW w:w="1276" w:type="dxa"/>
          </w:tcPr>
          <w:p w14:paraId="444276F7" w14:textId="304C493D" w:rsidR="00422A2A" w:rsidRDefault="00013652" w:rsidP="00013652">
            <w:pPr>
              <w:pStyle w:val="Point0number"/>
              <w:numPr>
                <w:ilvl w:val="0"/>
                <w:numId w:val="0"/>
              </w:numPr>
              <w:tabs>
                <w:tab w:val="left" w:pos="720"/>
              </w:tabs>
              <w:spacing w:before="0" w:after="0"/>
              <w:ind w:left="850" w:hanging="850"/>
              <w:jc w:val="center"/>
              <w:rPr>
                <w:rFonts w:eastAsia="Times New Roman"/>
                <w:szCs w:val="24"/>
                <w:lang w:val="en-US"/>
              </w:rPr>
            </w:pPr>
            <w:r>
              <w:rPr>
                <w:rFonts w:eastAsia="Times New Roman"/>
                <w:szCs w:val="24"/>
                <w:lang w:val="en-US"/>
              </w:rPr>
              <w:lastRenderedPageBreak/>
              <w:t>5.1.3.</w:t>
            </w:r>
          </w:p>
        </w:tc>
        <w:tc>
          <w:tcPr>
            <w:tcW w:w="3890" w:type="dxa"/>
          </w:tcPr>
          <w:p w14:paraId="4304EC6D" w14:textId="3202B5A8" w:rsidR="00422A2A" w:rsidRDefault="00422A2A" w:rsidP="00013652">
            <w:pPr>
              <w:pStyle w:val="Point0number"/>
              <w:numPr>
                <w:ilvl w:val="0"/>
                <w:numId w:val="0"/>
              </w:numPr>
              <w:tabs>
                <w:tab w:val="left" w:pos="720"/>
              </w:tabs>
              <w:spacing w:before="0" w:after="0"/>
              <w:rPr>
                <w:rFonts w:eastAsia="Times New Roman"/>
                <w:szCs w:val="24"/>
                <w:lang w:val="en-US"/>
              </w:rPr>
            </w:pPr>
            <w:proofErr w:type="spellStart"/>
            <w:r>
              <w:rPr>
                <w:rFonts w:eastAsia="Times New Roman"/>
                <w:szCs w:val="24"/>
                <w:lang w:val="en-US"/>
              </w:rPr>
              <w:t>mFRR</w:t>
            </w:r>
            <w:proofErr w:type="spellEnd"/>
            <w:r>
              <w:rPr>
                <w:rFonts w:eastAsia="Times New Roman"/>
                <w:szCs w:val="24"/>
                <w:lang w:val="en-US"/>
              </w:rPr>
              <w:t xml:space="preserve"> standard </w:t>
            </w:r>
            <w:proofErr w:type="spellStart"/>
            <w:r>
              <w:rPr>
                <w:rFonts w:eastAsia="Times New Roman"/>
                <w:szCs w:val="24"/>
                <w:lang w:val="en-US"/>
              </w:rPr>
              <w:t>produc</w:t>
            </w:r>
            <w:r w:rsidRPr="00B206C8">
              <w:rPr>
                <w:rFonts w:eastAsia="Times New Roman"/>
                <w:szCs w:val="24"/>
                <w:lang w:val="en-US"/>
              </w:rPr>
              <w:t>special</w:t>
            </w:r>
            <w:proofErr w:type="spellEnd"/>
            <w:r w:rsidRPr="00B206C8">
              <w:rPr>
                <w:rFonts w:eastAsia="Times New Roman"/>
                <w:szCs w:val="24"/>
                <w:lang w:val="en-US"/>
              </w:rPr>
              <w:t xml:space="preserve"> activization.</w:t>
            </w:r>
          </w:p>
        </w:tc>
        <w:tc>
          <w:tcPr>
            <w:tcW w:w="3760" w:type="dxa"/>
          </w:tcPr>
          <w:p w14:paraId="2EEEEF2F" w14:textId="5989530E" w:rsidR="00422A2A" w:rsidRPr="005737D8" w:rsidDel="00850599" w:rsidRDefault="00422A2A" w:rsidP="005A43AF">
            <w:pPr>
              <w:ind w:left="423"/>
              <w:jc w:val="both"/>
              <w:rPr>
                <w:rFonts w:ascii="Times New Roman" w:eastAsia="Times New Roman" w:hAnsi="Times New Roman" w:cs="Times New Roman"/>
                <w:sz w:val="24"/>
                <w:szCs w:val="24"/>
              </w:rPr>
            </w:pPr>
            <w:proofErr w:type="spellStart"/>
            <w:r w:rsidRPr="00766A48">
              <w:rPr>
                <w:rFonts w:ascii="Times New Roman" w:eastAsia="Times New Roman" w:hAnsi="Times New Roman" w:cs="Times New Roman"/>
                <w:sz w:val="24"/>
                <w:szCs w:val="24"/>
              </w:rPr>
              <w:t>mFRR</w:t>
            </w:r>
            <w:proofErr w:type="spellEnd"/>
            <w:r w:rsidRPr="00766A48">
              <w:rPr>
                <w:rFonts w:ascii="Times New Roman" w:eastAsia="Times New Roman" w:hAnsi="Times New Roman" w:cs="Times New Roman"/>
                <w:sz w:val="24"/>
                <w:szCs w:val="24"/>
              </w:rPr>
              <w:t xml:space="preserve"> standarta produkta speciālā aktivizācija.</w:t>
            </w:r>
          </w:p>
        </w:tc>
      </w:tr>
      <w:tr w:rsidR="00F527BD" w14:paraId="5C55588D" w14:textId="77777777" w:rsidTr="00F527BD">
        <w:trPr>
          <w:trHeight w:val="674"/>
        </w:trPr>
        <w:tc>
          <w:tcPr>
            <w:tcW w:w="1276" w:type="dxa"/>
          </w:tcPr>
          <w:p w14:paraId="168B8AFB" w14:textId="77777777" w:rsidR="00422A2A" w:rsidRPr="00941DA8" w:rsidRDefault="00422A2A" w:rsidP="005A43AF">
            <w:pPr>
              <w:pStyle w:val="Caption"/>
              <w:numPr>
                <w:ilvl w:val="1"/>
                <w:numId w:val="43"/>
              </w:numPr>
              <w:spacing w:before="0"/>
              <w:rPr>
                <w:rFonts w:ascii="Times New Roman" w:hAnsi="Times New Roman" w:cs="Times New Roman"/>
                <w:lang w:val="en-US"/>
              </w:rPr>
            </w:pPr>
          </w:p>
        </w:tc>
        <w:tc>
          <w:tcPr>
            <w:tcW w:w="3890" w:type="dxa"/>
          </w:tcPr>
          <w:p w14:paraId="2189ADB1" w14:textId="44DABCD8" w:rsidR="00422A2A" w:rsidRPr="00941DA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Bid activation can be performed in bidding zone: </w:t>
            </w:r>
          </w:p>
        </w:tc>
        <w:tc>
          <w:tcPr>
            <w:tcW w:w="3760" w:type="dxa"/>
          </w:tcPr>
          <w:p w14:paraId="4FE001FF" w14:textId="21204F30" w:rsidR="00422A2A" w:rsidRPr="0030041C" w:rsidRDefault="00422A2A" w:rsidP="005A43AF">
            <w:pPr>
              <w:pStyle w:val="ListParagraph"/>
              <w:ind w:left="0"/>
              <w:contextualSpacing w:val="0"/>
              <w:jc w:val="both"/>
              <w:rPr>
                <w:rFonts w:ascii="Times New Roman" w:hAnsi="Times New Roman" w:cs="Times New Roman"/>
                <w:sz w:val="24"/>
                <w:szCs w:val="24"/>
              </w:rPr>
            </w:pP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produkta solījumu aktivizāciju solīšanas zonā veic:</w:t>
            </w:r>
          </w:p>
          <w:p w14:paraId="39D931B9" w14:textId="1B04F580" w:rsidR="00422A2A" w:rsidRPr="00941DA8" w:rsidRDefault="00422A2A" w:rsidP="005A43AF">
            <w:pPr>
              <w:jc w:val="both"/>
              <w:rPr>
                <w:rFonts w:ascii="Times New Roman" w:hAnsi="Times New Roman" w:cs="Times New Roman"/>
                <w:sz w:val="24"/>
                <w:szCs w:val="24"/>
              </w:rPr>
            </w:pPr>
          </w:p>
        </w:tc>
      </w:tr>
      <w:tr w:rsidR="00F527BD" w14:paraId="42CBF76F" w14:textId="77777777" w:rsidTr="00F527BD">
        <w:trPr>
          <w:trHeight w:val="858"/>
        </w:trPr>
        <w:tc>
          <w:tcPr>
            <w:tcW w:w="1276" w:type="dxa"/>
          </w:tcPr>
          <w:p w14:paraId="2279922C" w14:textId="77777777" w:rsidR="00422A2A" w:rsidRPr="0030041C" w:rsidRDefault="00422A2A" w:rsidP="00013652">
            <w:pPr>
              <w:pStyle w:val="Point0number"/>
              <w:numPr>
                <w:ilvl w:val="2"/>
                <w:numId w:val="43"/>
              </w:numPr>
              <w:tabs>
                <w:tab w:val="left" w:pos="454"/>
              </w:tabs>
              <w:spacing w:before="0" w:after="0"/>
              <w:rPr>
                <w:rFonts w:eastAsia="Times New Roman"/>
                <w:szCs w:val="24"/>
                <w:lang w:val="en-US"/>
              </w:rPr>
            </w:pPr>
          </w:p>
        </w:tc>
        <w:tc>
          <w:tcPr>
            <w:tcW w:w="3890" w:type="dxa"/>
          </w:tcPr>
          <w:p w14:paraId="3987AE38" w14:textId="025F70DD" w:rsidR="00422A2A" w:rsidRPr="0030041C" w:rsidDel="001C049C" w:rsidRDefault="00422A2A" w:rsidP="00013652">
            <w:pPr>
              <w:pStyle w:val="Point0number"/>
              <w:numPr>
                <w:ilvl w:val="0"/>
                <w:numId w:val="0"/>
              </w:numPr>
              <w:tabs>
                <w:tab w:val="left" w:pos="454"/>
              </w:tabs>
              <w:spacing w:before="0" w:after="0"/>
              <w:rPr>
                <w:rFonts w:eastAsia="Times New Roman"/>
                <w:lang w:val="en-US"/>
              </w:rPr>
            </w:pPr>
            <w:proofErr w:type="gramStart"/>
            <w:r w:rsidRPr="0030041C">
              <w:rPr>
                <w:rFonts w:eastAsia="Times New Roman"/>
                <w:szCs w:val="24"/>
                <w:lang w:val="en-US"/>
              </w:rPr>
              <w:t>as a result of</w:t>
            </w:r>
            <w:proofErr w:type="gramEnd"/>
            <w:r w:rsidRPr="0030041C">
              <w:rPr>
                <w:rFonts w:eastAsia="Times New Roman"/>
                <w:szCs w:val="24"/>
                <w:lang w:val="en-US"/>
              </w:rPr>
              <w:t xml:space="preserve"> AOF of the MARI as defined in the </w:t>
            </w:r>
            <w:proofErr w:type="spellStart"/>
            <w:r w:rsidRPr="0030041C">
              <w:rPr>
                <w:rFonts w:eastAsia="Times New Roman"/>
                <w:szCs w:val="24"/>
                <w:lang w:val="en-US"/>
              </w:rPr>
              <w:t>mFRR</w:t>
            </w:r>
            <w:proofErr w:type="spellEnd"/>
            <w:r w:rsidRPr="0030041C">
              <w:rPr>
                <w:rFonts w:eastAsia="Times New Roman"/>
                <w:szCs w:val="24"/>
                <w:lang w:val="en-US"/>
              </w:rPr>
              <w:t xml:space="preserve"> IF (normal activation);</w:t>
            </w:r>
          </w:p>
        </w:tc>
        <w:tc>
          <w:tcPr>
            <w:tcW w:w="3760" w:type="dxa"/>
          </w:tcPr>
          <w:p w14:paraId="62038A48" w14:textId="77777777" w:rsidR="00422A2A" w:rsidRPr="0030041C" w:rsidRDefault="00422A2A" w:rsidP="005A43AF">
            <w:pPr>
              <w:ind w:left="423"/>
              <w:jc w:val="both"/>
              <w:rPr>
                <w:rFonts w:ascii="Times New Roman" w:hAnsi="Times New Roman" w:cs="Times New Roman"/>
                <w:sz w:val="24"/>
                <w:szCs w:val="24"/>
              </w:rPr>
            </w:pPr>
            <w:r w:rsidRPr="0030041C">
              <w:rPr>
                <w:rFonts w:ascii="Times New Roman" w:hAnsi="Times New Roman" w:cs="Times New Roman"/>
                <w:sz w:val="24"/>
                <w:szCs w:val="24"/>
              </w:rPr>
              <w:t xml:space="preserve">MARI AOF rezultātā, kā noteikts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IF (normālā aktivizācija);</w:t>
            </w:r>
          </w:p>
          <w:p w14:paraId="25337994" w14:textId="77777777" w:rsidR="00422A2A" w:rsidRPr="00824BE4" w:rsidDel="00850599" w:rsidRDefault="00422A2A" w:rsidP="005A43AF">
            <w:pPr>
              <w:ind w:left="423"/>
              <w:jc w:val="both"/>
              <w:rPr>
                <w:rFonts w:ascii="Times New Roman" w:hAnsi="Times New Roman" w:cs="Times New Roman"/>
                <w:sz w:val="24"/>
                <w:szCs w:val="24"/>
              </w:rPr>
            </w:pPr>
          </w:p>
        </w:tc>
      </w:tr>
      <w:tr w:rsidR="00F527BD" w14:paraId="15B1A4A4" w14:textId="77777777" w:rsidTr="00F527BD">
        <w:trPr>
          <w:trHeight w:val="1934"/>
        </w:trPr>
        <w:tc>
          <w:tcPr>
            <w:tcW w:w="1276" w:type="dxa"/>
          </w:tcPr>
          <w:p w14:paraId="11C2130A" w14:textId="77777777" w:rsidR="00422A2A" w:rsidRPr="00941DA8" w:rsidRDefault="00422A2A" w:rsidP="00013652">
            <w:pPr>
              <w:pStyle w:val="Caption"/>
              <w:numPr>
                <w:ilvl w:val="2"/>
                <w:numId w:val="43"/>
              </w:numPr>
              <w:tabs>
                <w:tab w:val="left" w:pos="454"/>
              </w:tabs>
              <w:spacing w:before="0"/>
              <w:rPr>
                <w:rFonts w:ascii="Times New Roman" w:hAnsi="Times New Roman" w:cs="Times New Roman"/>
                <w:lang w:val="en-US"/>
              </w:rPr>
            </w:pPr>
          </w:p>
        </w:tc>
        <w:tc>
          <w:tcPr>
            <w:tcW w:w="3890" w:type="dxa"/>
          </w:tcPr>
          <w:p w14:paraId="25E040E8" w14:textId="2CE96B31" w:rsidR="00422A2A" w:rsidRPr="00941DA8" w:rsidDel="001C049C" w:rsidRDefault="00422A2A" w:rsidP="00013652">
            <w:pPr>
              <w:pStyle w:val="Caption"/>
              <w:tabs>
                <w:tab w:val="left" w:pos="454"/>
              </w:tabs>
              <w:spacing w:before="0"/>
              <w:ind w:left="301"/>
              <w:rPr>
                <w:rFonts w:ascii="Times New Roman" w:hAnsi="Times New Roman" w:cs="Times New Roman"/>
                <w:lang w:val="en-US"/>
              </w:rPr>
            </w:pPr>
            <w:r w:rsidRPr="00941DA8">
              <w:rPr>
                <w:rFonts w:ascii="Times New Roman" w:hAnsi="Times New Roman" w:cs="Times New Roman"/>
                <w:lang w:val="en-US"/>
              </w:rPr>
              <w:t>in result of identification of need for bid activation locally from bidding zone TSO or neighboring TSOs (normal or special activation). Such situations can occur for example in case of MARI unavailability and/or not functional data exchange with MARI and/or in case TSO demand is not sufficiently satisfied by MARI.</w:t>
            </w:r>
          </w:p>
        </w:tc>
        <w:tc>
          <w:tcPr>
            <w:tcW w:w="3760" w:type="dxa"/>
          </w:tcPr>
          <w:p w14:paraId="1B157DAA" w14:textId="77777777" w:rsidR="00422A2A" w:rsidRPr="0030041C" w:rsidRDefault="00422A2A" w:rsidP="005A43AF">
            <w:pPr>
              <w:ind w:left="423"/>
              <w:jc w:val="both"/>
              <w:rPr>
                <w:rFonts w:ascii="Times New Roman" w:hAnsi="Times New Roman" w:cs="Times New Roman"/>
                <w:sz w:val="24"/>
                <w:szCs w:val="24"/>
              </w:rPr>
            </w:pPr>
            <w:r w:rsidRPr="0030041C">
              <w:rPr>
                <w:rFonts w:ascii="Times New Roman" w:hAnsi="Times New Roman" w:cs="Times New Roman"/>
                <w:sz w:val="24"/>
                <w:szCs w:val="24"/>
              </w:rPr>
              <w:t>ja tiek konstatēta nepieciešamība pēc solījuma lokālas aktivizēšanas solīšanas zonas PSO vai citu PSO vajadzību dēļ (normāla vai speciālā aktivizācija). Šādas situācijas var rasties, piemēram, MARI nepieejamības un/vai nefunkcionālas datu apmaiņas ar MARI gadījumā un/vai gadījumā, ja MARI nepietiekami apmierina PSO pieprasījumu.</w:t>
            </w:r>
          </w:p>
          <w:p w14:paraId="2282975C" w14:textId="77777777" w:rsidR="00422A2A" w:rsidRPr="00CE67FB" w:rsidRDefault="00422A2A" w:rsidP="005A43AF">
            <w:pPr>
              <w:ind w:left="423"/>
              <w:jc w:val="both"/>
              <w:rPr>
                <w:rFonts w:ascii="Times New Roman" w:hAnsi="Times New Roman" w:cs="Times New Roman"/>
                <w:sz w:val="24"/>
                <w:szCs w:val="24"/>
              </w:rPr>
            </w:pPr>
          </w:p>
          <w:p w14:paraId="2726C71E" w14:textId="77777777" w:rsidR="00422A2A" w:rsidRPr="00824BE4" w:rsidDel="00850599" w:rsidRDefault="00422A2A" w:rsidP="005A43AF">
            <w:pPr>
              <w:pStyle w:val="ListParagraph"/>
              <w:ind w:left="423"/>
              <w:contextualSpacing w:val="0"/>
              <w:jc w:val="both"/>
              <w:rPr>
                <w:rFonts w:ascii="Times New Roman" w:hAnsi="Times New Roman" w:cs="Times New Roman"/>
                <w:sz w:val="24"/>
                <w:szCs w:val="24"/>
              </w:rPr>
            </w:pPr>
          </w:p>
        </w:tc>
      </w:tr>
      <w:tr w:rsidR="00F527BD" w14:paraId="6010DDF0" w14:textId="77777777" w:rsidTr="00F527BD">
        <w:trPr>
          <w:trHeight w:val="1833"/>
        </w:trPr>
        <w:tc>
          <w:tcPr>
            <w:tcW w:w="1276" w:type="dxa"/>
          </w:tcPr>
          <w:p w14:paraId="74A5EE23" w14:textId="77777777" w:rsidR="00422A2A" w:rsidRDefault="00422A2A" w:rsidP="005A43AF">
            <w:pPr>
              <w:pStyle w:val="Caption"/>
              <w:numPr>
                <w:ilvl w:val="1"/>
                <w:numId w:val="43"/>
              </w:numPr>
              <w:spacing w:before="0"/>
              <w:rPr>
                <w:rFonts w:ascii="Times New Roman" w:hAnsi="Times New Roman" w:cs="Times New Roman"/>
                <w:lang w:val="en-US"/>
              </w:rPr>
            </w:pPr>
          </w:p>
        </w:tc>
        <w:tc>
          <w:tcPr>
            <w:tcW w:w="3890" w:type="dxa"/>
          </w:tcPr>
          <w:p w14:paraId="2C594D26" w14:textId="4D4AA420" w:rsidR="00422A2A" w:rsidRPr="00941DA8" w:rsidRDefault="00422A2A" w:rsidP="00013652">
            <w:pPr>
              <w:pStyle w:val="Caption"/>
              <w:spacing w:before="0"/>
              <w:rPr>
                <w:rFonts w:ascii="Times New Roman" w:hAnsi="Times New Roman" w:cs="Times New Roman"/>
                <w:lang w:val="en-US"/>
              </w:rPr>
            </w:pP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standard product bid l</w:t>
            </w:r>
            <w:r w:rsidRPr="00A64961">
              <w:rPr>
                <w:rFonts w:ascii="Times New Roman" w:hAnsi="Times New Roman" w:cs="Times New Roman"/>
                <w:lang w:val="en-US"/>
              </w:rPr>
              <w:t>ocal activation of bids for balancing purposes is secondary option for TSO in case objective for minimizing ACE cannot be sufficiently reached using MARI.</w:t>
            </w:r>
          </w:p>
        </w:tc>
        <w:tc>
          <w:tcPr>
            <w:tcW w:w="3760" w:type="dxa"/>
          </w:tcPr>
          <w:p w14:paraId="78F16732" w14:textId="78BEF2DF" w:rsidR="00422A2A" w:rsidRPr="0030041C" w:rsidDel="00850599"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produktu solījumu lokālu aktivizāciju balansēšanas vajadzībām PSO veic tikai tad, kad ar MARI pieejamiem solījumiem nav iespējams pietiekami sasniegt mērķi samazināt ACE.</w:t>
            </w:r>
          </w:p>
        </w:tc>
      </w:tr>
      <w:tr w:rsidR="00F527BD" w14:paraId="70541A1E" w14:textId="77777777" w:rsidTr="00F527BD">
        <w:tc>
          <w:tcPr>
            <w:tcW w:w="1276" w:type="dxa"/>
          </w:tcPr>
          <w:p w14:paraId="4F10CC65" w14:textId="77777777" w:rsidR="00422A2A" w:rsidRDefault="00422A2A" w:rsidP="005A43AF">
            <w:pPr>
              <w:pStyle w:val="Caption"/>
              <w:numPr>
                <w:ilvl w:val="1"/>
                <w:numId w:val="43"/>
              </w:numPr>
              <w:spacing w:before="0"/>
              <w:rPr>
                <w:rFonts w:ascii="Times New Roman" w:hAnsi="Times New Roman" w:cs="Times New Roman"/>
                <w:lang w:val="en-US"/>
              </w:rPr>
            </w:pPr>
          </w:p>
        </w:tc>
        <w:tc>
          <w:tcPr>
            <w:tcW w:w="3890" w:type="dxa"/>
          </w:tcPr>
          <w:p w14:paraId="24B3BBE9" w14:textId="43875064" w:rsidR="00422A2A" w:rsidRPr="00941DA8" w:rsidRDefault="00422A2A" w:rsidP="00013652">
            <w:pPr>
              <w:pStyle w:val="Caption"/>
              <w:spacing w:before="0"/>
              <w:rPr>
                <w:rFonts w:ascii="Times New Roman" w:hAnsi="Times New Roman" w:cs="Times New Roman"/>
                <w:lang w:val="en-US"/>
              </w:rPr>
            </w:pP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a</w:t>
            </w:r>
            <w:r w:rsidRPr="00941DA8">
              <w:rPr>
                <w:rFonts w:ascii="Times New Roman" w:hAnsi="Times New Roman" w:cs="Times New Roman"/>
                <w:lang w:val="en-US"/>
              </w:rPr>
              <w:t>ctivation orders to BSPs are submitted by TSO.</w:t>
            </w:r>
          </w:p>
          <w:p w14:paraId="6C586B98" w14:textId="77777777" w:rsidR="00422A2A" w:rsidRPr="0030041C" w:rsidRDefault="00422A2A" w:rsidP="005A43AF">
            <w:pPr>
              <w:pStyle w:val="Point0number"/>
              <w:numPr>
                <w:ilvl w:val="0"/>
                <w:numId w:val="0"/>
              </w:numPr>
              <w:tabs>
                <w:tab w:val="left" w:pos="720"/>
              </w:tabs>
              <w:spacing w:before="0" w:after="0"/>
              <w:rPr>
                <w:rFonts w:eastAsia="SimSun"/>
                <w:szCs w:val="24"/>
                <w:lang w:val="en-US" w:eastAsia="ar-SA"/>
              </w:rPr>
            </w:pPr>
          </w:p>
        </w:tc>
        <w:tc>
          <w:tcPr>
            <w:tcW w:w="3760" w:type="dxa"/>
          </w:tcPr>
          <w:p w14:paraId="17248D79" w14:textId="7237DDCD"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PSO iesniedz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aktivizācijas komandas RPS.</w:t>
            </w:r>
          </w:p>
        </w:tc>
      </w:tr>
      <w:tr w:rsidR="00F527BD" w14:paraId="4F1BDB24" w14:textId="77777777" w:rsidTr="00F527BD">
        <w:tc>
          <w:tcPr>
            <w:tcW w:w="1276" w:type="dxa"/>
          </w:tcPr>
          <w:p w14:paraId="4D17ED34" w14:textId="77777777" w:rsidR="00422A2A" w:rsidRPr="00941DA8" w:rsidRDefault="00422A2A" w:rsidP="005A43AF">
            <w:pPr>
              <w:pStyle w:val="Caption"/>
              <w:numPr>
                <w:ilvl w:val="1"/>
                <w:numId w:val="43"/>
              </w:numPr>
              <w:spacing w:before="0"/>
              <w:rPr>
                <w:rFonts w:ascii="Times New Roman" w:hAnsi="Times New Roman" w:cs="Times New Roman"/>
                <w:lang w:val="en-US"/>
              </w:rPr>
            </w:pPr>
          </w:p>
        </w:tc>
        <w:tc>
          <w:tcPr>
            <w:tcW w:w="3890" w:type="dxa"/>
          </w:tcPr>
          <w:p w14:paraId="3999422C" w14:textId="527E29D7" w:rsidR="00422A2A" w:rsidRPr="00941DA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BSPs after receiving </w:t>
            </w: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w:t>
            </w:r>
            <w:r w:rsidRPr="00941DA8">
              <w:rPr>
                <w:rFonts w:ascii="Times New Roman" w:hAnsi="Times New Roman" w:cs="Times New Roman"/>
                <w:lang w:val="en-US"/>
              </w:rPr>
              <w:t>activation order shall confirm the activation.</w:t>
            </w:r>
          </w:p>
          <w:p w14:paraId="657AF5D2" w14:textId="77777777" w:rsidR="00422A2A" w:rsidRPr="00941DA8" w:rsidRDefault="00422A2A" w:rsidP="005A43AF">
            <w:pPr>
              <w:pStyle w:val="Point0number"/>
              <w:numPr>
                <w:ilvl w:val="0"/>
                <w:numId w:val="0"/>
              </w:numPr>
              <w:tabs>
                <w:tab w:val="left" w:pos="720"/>
              </w:tabs>
              <w:spacing w:before="0" w:after="0"/>
              <w:rPr>
                <w:rFonts w:eastAsia="Times New Roman"/>
                <w:b/>
                <w:bCs/>
                <w:szCs w:val="24"/>
                <w:lang w:val="en-US"/>
              </w:rPr>
            </w:pPr>
          </w:p>
        </w:tc>
        <w:tc>
          <w:tcPr>
            <w:tcW w:w="3760" w:type="dxa"/>
          </w:tcPr>
          <w:p w14:paraId="39355C1F" w14:textId="524D3F2F" w:rsidR="00422A2A" w:rsidRPr="0030041C" w:rsidRDefault="00422A2A" w:rsidP="005A43AF">
            <w:pPr>
              <w:jc w:val="both"/>
              <w:rPr>
                <w:rFonts w:ascii="Times New Roman" w:hAnsi="Times New Roman" w:cs="Times New Roman"/>
                <w:sz w:val="24"/>
                <w:szCs w:val="24"/>
                <w:lang w:val="et-EE"/>
              </w:rPr>
            </w:pPr>
            <w:r w:rsidRPr="0030041C">
              <w:rPr>
                <w:rFonts w:ascii="Times New Roman" w:hAnsi="Times New Roman" w:cs="Times New Roman"/>
                <w:sz w:val="24"/>
                <w:szCs w:val="24"/>
              </w:rPr>
              <w:t xml:space="preserve">Pēc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aktivizācijas komandas saņemšanas RPS sniedz aktivizācijas apstiprinājumu.</w:t>
            </w:r>
          </w:p>
        </w:tc>
      </w:tr>
      <w:tr w:rsidR="00F527BD" w14:paraId="10B51BE4" w14:textId="77777777" w:rsidTr="00F527BD">
        <w:tc>
          <w:tcPr>
            <w:tcW w:w="1276" w:type="dxa"/>
          </w:tcPr>
          <w:p w14:paraId="07C25519" w14:textId="77777777" w:rsidR="00422A2A" w:rsidRDefault="00422A2A" w:rsidP="00013652">
            <w:pPr>
              <w:pStyle w:val="Caption"/>
              <w:numPr>
                <w:ilvl w:val="1"/>
                <w:numId w:val="43"/>
              </w:numPr>
              <w:spacing w:before="0"/>
              <w:rPr>
                <w:rFonts w:ascii="Times New Roman" w:hAnsi="Times New Roman" w:cs="Times New Roman"/>
                <w:lang w:val="en-US"/>
              </w:rPr>
            </w:pPr>
          </w:p>
        </w:tc>
        <w:tc>
          <w:tcPr>
            <w:tcW w:w="3890" w:type="dxa"/>
          </w:tcPr>
          <w:p w14:paraId="5BA45D2F" w14:textId="7FDD858A" w:rsidR="00422A2A" w:rsidRPr="00941DA8" w:rsidRDefault="00422A2A" w:rsidP="00013652">
            <w:pPr>
              <w:pStyle w:val="Caption"/>
              <w:spacing w:before="0"/>
              <w:rPr>
                <w:rFonts w:ascii="Times New Roman" w:hAnsi="Times New Roman" w:cs="Times New Roman"/>
                <w:lang w:val="en-US"/>
              </w:rPr>
            </w:pP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standard product d</w:t>
            </w:r>
            <w:r w:rsidRPr="00941DA8">
              <w:rPr>
                <w:rFonts w:ascii="Times New Roman" w:hAnsi="Times New Roman" w:cs="Times New Roman"/>
                <w:lang w:val="en-US"/>
              </w:rPr>
              <w:t>ivisible bids shall be activated in minimum quantity of 1 MW and the incremental steps of 1 MW, from the minimum quantity up to the maximum quantity of the bid.</w:t>
            </w:r>
          </w:p>
          <w:p w14:paraId="73D53C19" w14:textId="77777777" w:rsidR="00422A2A" w:rsidRPr="00941DA8" w:rsidRDefault="00422A2A" w:rsidP="005A43AF">
            <w:pPr>
              <w:pStyle w:val="Caption"/>
              <w:spacing w:before="0"/>
              <w:rPr>
                <w:rFonts w:ascii="Times New Roman" w:hAnsi="Times New Roman" w:cs="Times New Roman"/>
                <w:lang w:val="en-US"/>
              </w:rPr>
            </w:pPr>
          </w:p>
        </w:tc>
        <w:tc>
          <w:tcPr>
            <w:tcW w:w="3760" w:type="dxa"/>
          </w:tcPr>
          <w:p w14:paraId="566F8E5B" w14:textId="0D2CFF38" w:rsidR="00422A2A" w:rsidRPr="0030041C" w:rsidDel="006F16C6"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produkta dalāmos solījumus aktivizē minimālajā daudzumā 1 MW apmērā un ar soli 1 MW, sākot no minimālā solījuma daudzuma līdz maksimālajam solījuma daudzumam.</w:t>
            </w:r>
          </w:p>
        </w:tc>
      </w:tr>
      <w:tr w:rsidR="00F527BD" w14:paraId="2CA04BB6" w14:textId="77777777" w:rsidTr="00F527BD">
        <w:tc>
          <w:tcPr>
            <w:tcW w:w="1276" w:type="dxa"/>
          </w:tcPr>
          <w:p w14:paraId="5ED2EA4C" w14:textId="77777777" w:rsidR="00422A2A" w:rsidRPr="00941DA8" w:rsidRDefault="00422A2A" w:rsidP="005A43AF">
            <w:pPr>
              <w:pStyle w:val="Caption"/>
              <w:numPr>
                <w:ilvl w:val="1"/>
                <w:numId w:val="31"/>
              </w:numPr>
              <w:spacing w:before="0"/>
              <w:rPr>
                <w:rFonts w:ascii="Times New Roman" w:hAnsi="Times New Roman" w:cs="Times New Roman"/>
                <w:lang w:val="en-US"/>
              </w:rPr>
            </w:pPr>
          </w:p>
        </w:tc>
        <w:tc>
          <w:tcPr>
            <w:tcW w:w="3890" w:type="dxa"/>
          </w:tcPr>
          <w:p w14:paraId="3BAFD5B3" w14:textId="454763F8" w:rsidR="00422A2A" w:rsidRPr="00941DA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Special activations are performed by activation of standard </w:t>
            </w:r>
            <w:proofErr w:type="spellStart"/>
            <w:r w:rsidRPr="00941DA8">
              <w:rPr>
                <w:rFonts w:ascii="Times New Roman" w:hAnsi="Times New Roman" w:cs="Times New Roman"/>
                <w:lang w:val="en-US"/>
              </w:rPr>
              <w:t>mFRR</w:t>
            </w:r>
            <w:proofErr w:type="spellEnd"/>
            <w:r w:rsidRPr="00941DA8">
              <w:rPr>
                <w:rFonts w:ascii="Times New Roman" w:hAnsi="Times New Roman" w:cs="Times New Roman"/>
                <w:lang w:val="en-US"/>
              </w:rPr>
              <w:t xml:space="preserve"> </w:t>
            </w:r>
            <w:proofErr w:type="gramStart"/>
            <w:r w:rsidRPr="00941DA8">
              <w:rPr>
                <w:rFonts w:ascii="Times New Roman" w:hAnsi="Times New Roman" w:cs="Times New Roman"/>
                <w:lang w:val="en-US"/>
              </w:rPr>
              <w:t>product  or</w:t>
            </w:r>
            <w:proofErr w:type="gramEnd"/>
            <w:r w:rsidRPr="00941DA8">
              <w:rPr>
                <w:rFonts w:ascii="Times New Roman" w:hAnsi="Times New Roman" w:cs="Times New Roman"/>
                <w:lang w:val="en-US"/>
              </w:rPr>
              <w:t xml:space="preserve"> other product bids locally. Special activations can be used to solve </w:t>
            </w:r>
            <w:r w:rsidRPr="00941DA8">
              <w:rPr>
                <w:rFonts w:ascii="Times New Roman" w:hAnsi="Times New Roman" w:cs="Times New Roman"/>
                <w:lang w:val="en-US"/>
              </w:rPr>
              <w:lastRenderedPageBreak/>
              <w:t xml:space="preserve">operational security issues, for countertrading and re-dispatching to solve congestion issues on borders in accordance Baltic capacity calculation region TSOs’ common methodology for coordinated </w:t>
            </w:r>
            <w:proofErr w:type="spellStart"/>
            <w:r w:rsidRPr="00941DA8">
              <w:rPr>
                <w:rFonts w:ascii="Times New Roman" w:hAnsi="Times New Roman" w:cs="Times New Roman"/>
                <w:lang w:val="en-US"/>
              </w:rPr>
              <w:t>redispatching</w:t>
            </w:r>
            <w:proofErr w:type="spellEnd"/>
            <w:r w:rsidRPr="00941DA8">
              <w:rPr>
                <w:rFonts w:ascii="Times New Roman" w:hAnsi="Times New Roman" w:cs="Times New Roman"/>
                <w:lang w:val="en-US"/>
              </w:rPr>
              <w:t xml:space="preserve"> and countertrading in accordance with Article 35 of the Commission Regulation (EU) 2015/1222 of 24 July 2015.</w:t>
            </w:r>
          </w:p>
          <w:p w14:paraId="642FC007" w14:textId="77777777" w:rsidR="00422A2A" w:rsidRPr="00941DA8" w:rsidRDefault="00422A2A" w:rsidP="005A43AF">
            <w:pPr>
              <w:pStyle w:val="Point0number"/>
              <w:numPr>
                <w:ilvl w:val="0"/>
                <w:numId w:val="0"/>
              </w:numPr>
              <w:tabs>
                <w:tab w:val="left" w:pos="720"/>
              </w:tabs>
              <w:spacing w:before="0" w:after="0"/>
              <w:rPr>
                <w:rFonts w:eastAsia="Times New Roman"/>
                <w:b/>
                <w:bCs/>
                <w:szCs w:val="24"/>
                <w:lang w:val="en-US"/>
              </w:rPr>
            </w:pPr>
          </w:p>
        </w:tc>
        <w:tc>
          <w:tcPr>
            <w:tcW w:w="3760" w:type="dxa"/>
          </w:tcPr>
          <w:p w14:paraId="16E6BAFD" w14:textId="0ECC9244"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lastRenderedPageBreak/>
              <w:t xml:space="preserve">Speciālās aktivizācijas tiek veiktas, aktivizējot standarta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produktu vai citu produktu solījumus lokāli. Speciālas aktivizācijas var izmantot, </w:t>
            </w:r>
            <w:r w:rsidRPr="0030041C">
              <w:rPr>
                <w:rFonts w:ascii="Times New Roman" w:hAnsi="Times New Roman" w:cs="Times New Roman"/>
                <w:sz w:val="24"/>
                <w:szCs w:val="24"/>
              </w:rPr>
              <w:lastRenderedPageBreak/>
              <w:t xml:space="preserve">lai risinātu sistēmas darbības drošības jautājumus, kompensācijas tirdzniecībai un </w:t>
            </w:r>
            <w:proofErr w:type="spellStart"/>
            <w:r w:rsidRPr="0030041C">
              <w:rPr>
                <w:rFonts w:ascii="Times New Roman" w:hAnsi="Times New Roman" w:cs="Times New Roman"/>
                <w:sz w:val="24"/>
                <w:szCs w:val="24"/>
              </w:rPr>
              <w:t>pārdispečerēšanai</w:t>
            </w:r>
            <w:proofErr w:type="spellEnd"/>
            <w:r w:rsidRPr="0030041C">
              <w:rPr>
                <w:rFonts w:ascii="Times New Roman" w:hAnsi="Times New Roman" w:cs="Times New Roman"/>
                <w:sz w:val="24"/>
                <w:szCs w:val="24"/>
              </w:rPr>
              <w:t xml:space="preserve">, lai risinātu pārslodzes problēmas uz robežām saskaņā ar Baltijas jaudas aprēķināšanas reģiona PSO vienoto metodiku koordinētai </w:t>
            </w:r>
            <w:proofErr w:type="spellStart"/>
            <w:r w:rsidRPr="0030041C">
              <w:rPr>
                <w:rFonts w:ascii="Times New Roman" w:hAnsi="Times New Roman" w:cs="Times New Roman"/>
                <w:sz w:val="24"/>
                <w:szCs w:val="24"/>
              </w:rPr>
              <w:t>pārdispečerēšanai</w:t>
            </w:r>
            <w:proofErr w:type="spellEnd"/>
            <w:r w:rsidRPr="0030041C">
              <w:rPr>
                <w:rFonts w:ascii="Times New Roman" w:hAnsi="Times New Roman" w:cs="Times New Roman"/>
                <w:sz w:val="24"/>
                <w:szCs w:val="24"/>
              </w:rPr>
              <w:t xml:space="preserve"> un kompensācijas tirdzniecībai saskaņā ar Komisijas Regulas (ES) 35. pantu. 2015. gada 24. jūlija 2015/1222.</w:t>
            </w:r>
          </w:p>
        </w:tc>
      </w:tr>
      <w:tr w:rsidR="00F527BD" w14:paraId="18DE0E68" w14:textId="77777777" w:rsidTr="00F527BD">
        <w:trPr>
          <w:trHeight w:val="1222"/>
        </w:trPr>
        <w:tc>
          <w:tcPr>
            <w:tcW w:w="1276" w:type="dxa"/>
          </w:tcPr>
          <w:p w14:paraId="4EFF31CC" w14:textId="77777777" w:rsidR="00422A2A" w:rsidRPr="00941DA8" w:rsidRDefault="00422A2A" w:rsidP="005A43AF">
            <w:pPr>
              <w:pStyle w:val="Caption"/>
              <w:numPr>
                <w:ilvl w:val="1"/>
                <w:numId w:val="31"/>
              </w:numPr>
              <w:spacing w:before="0"/>
              <w:rPr>
                <w:rFonts w:ascii="Times New Roman" w:hAnsi="Times New Roman" w:cs="Times New Roman"/>
                <w:lang w:val="en-US"/>
              </w:rPr>
            </w:pPr>
          </w:p>
        </w:tc>
        <w:tc>
          <w:tcPr>
            <w:tcW w:w="3890" w:type="dxa"/>
          </w:tcPr>
          <w:p w14:paraId="6D9CB7DC" w14:textId="6CCD9D7F" w:rsidR="00422A2A" w:rsidRPr="00013652"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Local activations are executed considering</w:t>
            </w:r>
          </w:p>
        </w:tc>
        <w:tc>
          <w:tcPr>
            <w:tcW w:w="3760" w:type="dxa"/>
          </w:tcPr>
          <w:p w14:paraId="1CB25B61" w14:textId="1AE1D40B"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produkta solījumu lokālās aktivizācijas tiek veiktas, ņemot vērā:</w:t>
            </w:r>
          </w:p>
          <w:p w14:paraId="356F61EA" w14:textId="16265A4F" w:rsidR="00422A2A" w:rsidRPr="0030041C" w:rsidDel="00281CA6" w:rsidRDefault="00422A2A" w:rsidP="005A43AF">
            <w:pPr>
              <w:jc w:val="both"/>
              <w:rPr>
                <w:rFonts w:ascii="Times New Roman" w:hAnsi="Times New Roman" w:cs="Times New Roman"/>
                <w:sz w:val="24"/>
                <w:szCs w:val="24"/>
              </w:rPr>
            </w:pPr>
          </w:p>
          <w:p w14:paraId="30466D5B" w14:textId="06FF220E" w:rsidR="00422A2A" w:rsidRPr="0030041C" w:rsidDel="00281CA6" w:rsidRDefault="00422A2A" w:rsidP="005A43AF">
            <w:pPr>
              <w:ind w:left="565" w:hanging="565"/>
              <w:jc w:val="both"/>
              <w:rPr>
                <w:rFonts w:ascii="Times New Roman" w:hAnsi="Times New Roman" w:cs="Times New Roman"/>
                <w:sz w:val="24"/>
                <w:szCs w:val="24"/>
              </w:rPr>
            </w:pPr>
          </w:p>
        </w:tc>
      </w:tr>
      <w:tr w:rsidR="00F527BD" w14:paraId="05F3AFB6" w14:textId="77777777" w:rsidTr="00F527BD">
        <w:trPr>
          <w:trHeight w:val="1222"/>
        </w:trPr>
        <w:tc>
          <w:tcPr>
            <w:tcW w:w="1276" w:type="dxa"/>
          </w:tcPr>
          <w:p w14:paraId="6B6E90E6" w14:textId="77777777" w:rsidR="00422A2A" w:rsidRPr="00941DA8" w:rsidRDefault="00422A2A" w:rsidP="00013652">
            <w:pPr>
              <w:pStyle w:val="Caption"/>
              <w:numPr>
                <w:ilvl w:val="2"/>
                <w:numId w:val="31"/>
              </w:numPr>
              <w:spacing w:before="0"/>
              <w:rPr>
                <w:rFonts w:ascii="Times New Roman" w:hAnsi="Times New Roman" w:cs="Times New Roman"/>
                <w:lang w:val="en-US"/>
              </w:rPr>
            </w:pPr>
          </w:p>
        </w:tc>
        <w:tc>
          <w:tcPr>
            <w:tcW w:w="3890" w:type="dxa"/>
          </w:tcPr>
          <w:p w14:paraId="3A2EB0E9" w14:textId="2F264D41" w:rsidR="00422A2A" w:rsidRPr="005A43AF" w:rsidRDefault="00422A2A" w:rsidP="00013652">
            <w:pPr>
              <w:pStyle w:val="Caption"/>
              <w:spacing w:before="0"/>
              <w:ind w:left="15"/>
              <w:rPr>
                <w:rFonts w:ascii="Times New Roman" w:hAnsi="Times New Roman" w:cs="Times New Roman"/>
                <w:lang w:val="en-US"/>
              </w:rPr>
            </w:pPr>
            <w:r w:rsidRPr="00941DA8">
              <w:rPr>
                <w:rFonts w:ascii="Times New Roman" w:hAnsi="Times New Roman" w:cs="Times New Roman"/>
                <w:lang w:val="en-US"/>
              </w:rPr>
              <w:t>submitted bid characteristics for the MTU – to the extent it is technically justified and appropriate, and considering most advantageous price criteria</w:t>
            </w:r>
            <w:r>
              <w:rPr>
                <w:rFonts w:ascii="Times New Roman" w:hAnsi="Times New Roman" w:cs="Times New Roman"/>
                <w:lang w:val="en-US"/>
              </w:rPr>
              <w:t>;</w:t>
            </w:r>
          </w:p>
        </w:tc>
        <w:tc>
          <w:tcPr>
            <w:tcW w:w="3760" w:type="dxa"/>
          </w:tcPr>
          <w:p w14:paraId="55ECE4ED" w14:textId="151631D3" w:rsidR="00422A2A" w:rsidRPr="0030041C" w:rsidRDefault="00422A2A" w:rsidP="005A43AF">
            <w:pPr>
              <w:jc w:val="both"/>
              <w:rPr>
                <w:rFonts w:ascii="Times New Roman" w:hAnsi="Times New Roman" w:cs="Times New Roman"/>
                <w:sz w:val="24"/>
                <w:szCs w:val="24"/>
              </w:rPr>
            </w:pPr>
            <w:r>
              <w:rPr>
                <w:rFonts w:ascii="Times New Roman" w:hAnsi="Times New Roman" w:cs="Times New Roman"/>
                <w:sz w:val="24"/>
                <w:szCs w:val="24"/>
              </w:rPr>
              <w:t xml:space="preserve"> </w:t>
            </w:r>
            <w:r w:rsidRPr="0030041C">
              <w:rPr>
                <w:rFonts w:ascii="Times New Roman" w:hAnsi="Times New Roman" w:cs="Times New Roman"/>
                <w:sz w:val="24"/>
                <w:szCs w:val="24"/>
              </w:rPr>
              <w:t xml:space="preserve">iesniegto solījumu parametrus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MTU ietvaros- ciktāl to aktivizēšanas ir tehniski iespējama, un ievērojot izdevīgākās cenas kritēriju;</w:t>
            </w:r>
          </w:p>
          <w:p w14:paraId="2C459F0E" w14:textId="413DDF54" w:rsidR="00422A2A" w:rsidRDefault="00422A2A" w:rsidP="005A43AF">
            <w:pPr>
              <w:jc w:val="both"/>
              <w:rPr>
                <w:rFonts w:ascii="Times New Roman" w:hAnsi="Times New Roman" w:cs="Times New Roman"/>
                <w:sz w:val="24"/>
                <w:szCs w:val="24"/>
              </w:rPr>
            </w:pPr>
          </w:p>
        </w:tc>
      </w:tr>
      <w:tr w:rsidR="00F527BD" w14:paraId="56A9F08C" w14:textId="77777777" w:rsidTr="00F527BD">
        <w:trPr>
          <w:trHeight w:val="1222"/>
        </w:trPr>
        <w:tc>
          <w:tcPr>
            <w:tcW w:w="1276" w:type="dxa"/>
          </w:tcPr>
          <w:p w14:paraId="707C174B" w14:textId="77777777" w:rsidR="00422A2A" w:rsidRPr="00B206C8" w:rsidRDefault="00422A2A" w:rsidP="005A43AF">
            <w:pPr>
              <w:pStyle w:val="Caption"/>
              <w:numPr>
                <w:ilvl w:val="2"/>
                <w:numId w:val="31"/>
              </w:numPr>
              <w:spacing w:before="0"/>
              <w:rPr>
                <w:rFonts w:ascii="Times New Roman" w:hAnsi="Times New Roman" w:cs="Times New Roman"/>
                <w:lang w:val="en-US"/>
              </w:rPr>
            </w:pPr>
          </w:p>
        </w:tc>
        <w:tc>
          <w:tcPr>
            <w:tcW w:w="3890" w:type="dxa"/>
          </w:tcPr>
          <w:p w14:paraId="70A88180" w14:textId="0BB9C30A" w:rsidR="00422A2A" w:rsidRPr="00941DA8" w:rsidRDefault="00422A2A" w:rsidP="00013652">
            <w:pPr>
              <w:pStyle w:val="Caption"/>
              <w:spacing w:before="0"/>
              <w:rPr>
                <w:rFonts w:ascii="Times New Roman" w:hAnsi="Times New Roman" w:cs="Times New Roman"/>
                <w:lang w:val="en-US"/>
              </w:rPr>
            </w:pPr>
            <w:r w:rsidRPr="00B206C8">
              <w:rPr>
                <w:rFonts w:ascii="Times New Roman" w:hAnsi="Times New Roman" w:cs="Times New Roman"/>
                <w:lang w:val="en-US"/>
              </w:rPr>
              <w:t>available balancing energy bids for activation for relevant validity period at point in time of decision for local activation.</w:t>
            </w:r>
          </w:p>
        </w:tc>
        <w:tc>
          <w:tcPr>
            <w:tcW w:w="3760" w:type="dxa"/>
          </w:tcPr>
          <w:p w14:paraId="0B7D0809" w14:textId="6A9ECA8E" w:rsidR="00422A2A"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pieejamos solījumus aktivizēšanai solījuma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MTU brīdī, kad tiek pieņemts lēmums par lokālo aktivizēšanu.</w:t>
            </w:r>
          </w:p>
        </w:tc>
      </w:tr>
      <w:tr w:rsidR="00F527BD" w14:paraId="2B861F9C" w14:textId="77777777" w:rsidTr="00F527BD">
        <w:trPr>
          <w:trHeight w:val="750"/>
        </w:trPr>
        <w:tc>
          <w:tcPr>
            <w:tcW w:w="1276" w:type="dxa"/>
          </w:tcPr>
          <w:p w14:paraId="21FBF5C4" w14:textId="77777777" w:rsidR="00422A2A" w:rsidRPr="00941DA8" w:rsidRDefault="00422A2A" w:rsidP="005A43AF">
            <w:pPr>
              <w:pStyle w:val="Caption"/>
              <w:numPr>
                <w:ilvl w:val="1"/>
                <w:numId w:val="31"/>
              </w:numPr>
              <w:spacing w:before="0"/>
              <w:rPr>
                <w:rFonts w:ascii="Times New Roman" w:hAnsi="Times New Roman" w:cs="Times New Roman"/>
                <w:lang w:val="en-US"/>
              </w:rPr>
            </w:pPr>
          </w:p>
        </w:tc>
        <w:tc>
          <w:tcPr>
            <w:tcW w:w="3890" w:type="dxa"/>
          </w:tcPr>
          <w:p w14:paraId="38E838C5" w14:textId="63968F15" w:rsidR="00422A2A" w:rsidRPr="005A43AF"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When executing normal local activation, the TSO shall initiate to activate:</w:t>
            </w:r>
          </w:p>
        </w:tc>
        <w:tc>
          <w:tcPr>
            <w:tcW w:w="3760" w:type="dxa"/>
          </w:tcPr>
          <w:p w14:paraId="66232E7C" w14:textId="52910C50"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Ja tiek veikta normālā lokālā vai speciālā aktivizācija, PSO aktivizē:</w:t>
            </w:r>
          </w:p>
          <w:p w14:paraId="3FD6B90E" w14:textId="793918E6" w:rsidR="00422A2A" w:rsidRPr="00B206C8" w:rsidRDefault="00422A2A" w:rsidP="005A43AF">
            <w:pPr>
              <w:jc w:val="both"/>
            </w:pPr>
          </w:p>
        </w:tc>
      </w:tr>
      <w:tr w:rsidR="00F527BD" w14:paraId="63C0A7ED" w14:textId="77777777" w:rsidTr="00F527BD">
        <w:trPr>
          <w:trHeight w:val="1910"/>
        </w:trPr>
        <w:tc>
          <w:tcPr>
            <w:tcW w:w="1276" w:type="dxa"/>
          </w:tcPr>
          <w:p w14:paraId="3A4AB848" w14:textId="77777777" w:rsidR="00422A2A" w:rsidRPr="00941DA8" w:rsidRDefault="00422A2A" w:rsidP="005A43AF">
            <w:pPr>
              <w:pStyle w:val="Caption"/>
              <w:numPr>
                <w:ilvl w:val="2"/>
                <w:numId w:val="45"/>
              </w:numPr>
              <w:spacing w:before="0"/>
              <w:rPr>
                <w:rFonts w:ascii="Times New Roman" w:hAnsi="Times New Roman" w:cs="Times New Roman"/>
                <w:lang w:val="en-US"/>
              </w:rPr>
            </w:pPr>
          </w:p>
        </w:tc>
        <w:tc>
          <w:tcPr>
            <w:tcW w:w="3890" w:type="dxa"/>
          </w:tcPr>
          <w:p w14:paraId="5D210BED" w14:textId="5A103193" w:rsidR="00422A2A" w:rsidRPr="000F504C"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available </w:t>
            </w:r>
            <w:proofErr w:type="spellStart"/>
            <w:r w:rsidRPr="00941DA8">
              <w:rPr>
                <w:rFonts w:ascii="Times New Roman" w:hAnsi="Times New Roman" w:cs="Times New Roman"/>
                <w:lang w:val="en-US"/>
              </w:rPr>
              <w:t>mFRR</w:t>
            </w:r>
            <w:proofErr w:type="spellEnd"/>
            <w:r w:rsidRPr="00941DA8">
              <w:rPr>
                <w:rFonts w:ascii="Times New Roman" w:hAnsi="Times New Roman" w:cs="Times New Roman"/>
                <w:lang w:val="en-US"/>
              </w:rPr>
              <w:t xml:space="preserve"> standard product bid with the lowest price for upward activation. In case such bid is not available – TSO activates other product bid with the lowest price for upward activation;</w:t>
            </w:r>
          </w:p>
        </w:tc>
        <w:tc>
          <w:tcPr>
            <w:tcW w:w="3760" w:type="dxa"/>
          </w:tcPr>
          <w:p w14:paraId="1ECD393B" w14:textId="6659C83C"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pieejamos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produktu solījumus ar zemāko cenu </w:t>
            </w:r>
            <w:proofErr w:type="spellStart"/>
            <w:r w:rsidRPr="0030041C">
              <w:rPr>
                <w:rFonts w:ascii="Times New Roman" w:hAnsi="Times New Roman" w:cs="Times New Roman"/>
                <w:sz w:val="24"/>
                <w:szCs w:val="24"/>
              </w:rPr>
              <w:t>augšupvērstai</w:t>
            </w:r>
            <w:proofErr w:type="spellEnd"/>
            <w:r w:rsidRPr="0030041C">
              <w:rPr>
                <w:rFonts w:ascii="Times New Roman" w:hAnsi="Times New Roman" w:cs="Times New Roman"/>
                <w:sz w:val="24"/>
                <w:szCs w:val="24"/>
              </w:rPr>
              <w:t xml:space="preserve"> aktivizēšanai. Ja šis solījums nav pieejams – PSO aktivizē citu solījumu ar zemāko cenu </w:t>
            </w:r>
            <w:proofErr w:type="spellStart"/>
            <w:r>
              <w:rPr>
                <w:rFonts w:ascii="Times New Roman" w:hAnsi="Times New Roman" w:cs="Times New Roman"/>
                <w:sz w:val="24"/>
                <w:szCs w:val="24"/>
              </w:rPr>
              <w:t>augšup</w:t>
            </w:r>
            <w:r w:rsidRPr="0030041C">
              <w:rPr>
                <w:rFonts w:ascii="Times New Roman" w:hAnsi="Times New Roman" w:cs="Times New Roman"/>
                <w:sz w:val="24"/>
                <w:szCs w:val="24"/>
              </w:rPr>
              <w:t>vērstai</w:t>
            </w:r>
            <w:proofErr w:type="spellEnd"/>
            <w:r w:rsidRPr="0030041C">
              <w:rPr>
                <w:rFonts w:ascii="Times New Roman" w:hAnsi="Times New Roman" w:cs="Times New Roman"/>
                <w:sz w:val="24"/>
                <w:szCs w:val="24"/>
              </w:rPr>
              <w:t xml:space="preserve"> aktivizācijai;</w:t>
            </w:r>
          </w:p>
          <w:p w14:paraId="57D3646E" w14:textId="5A19281B" w:rsidR="00422A2A" w:rsidRDefault="00422A2A" w:rsidP="005A43AF">
            <w:pPr>
              <w:jc w:val="both"/>
              <w:rPr>
                <w:rFonts w:ascii="Times New Roman" w:hAnsi="Times New Roman" w:cs="Times New Roman"/>
                <w:sz w:val="24"/>
                <w:szCs w:val="24"/>
              </w:rPr>
            </w:pPr>
          </w:p>
        </w:tc>
      </w:tr>
      <w:tr w:rsidR="00F527BD" w14:paraId="0B1BDF8A" w14:textId="77777777" w:rsidTr="00F527BD">
        <w:trPr>
          <w:trHeight w:val="1910"/>
        </w:trPr>
        <w:tc>
          <w:tcPr>
            <w:tcW w:w="1276" w:type="dxa"/>
          </w:tcPr>
          <w:p w14:paraId="2C388EE7" w14:textId="77777777" w:rsidR="00422A2A" w:rsidRPr="00941DA8" w:rsidRDefault="00422A2A" w:rsidP="005A43AF">
            <w:pPr>
              <w:pStyle w:val="Caption"/>
              <w:numPr>
                <w:ilvl w:val="2"/>
                <w:numId w:val="45"/>
              </w:numPr>
              <w:spacing w:before="0"/>
              <w:rPr>
                <w:rFonts w:ascii="Times New Roman" w:hAnsi="Times New Roman" w:cs="Times New Roman"/>
                <w:lang w:val="en-US"/>
              </w:rPr>
            </w:pPr>
          </w:p>
        </w:tc>
        <w:tc>
          <w:tcPr>
            <w:tcW w:w="3890" w:type="dxa"/>
          </w:tcPr>
          <w:p w14:paraId="70F71260" w14:textId="5F8C80DD" w:rsidR="00422A2A" w:rsidRPr="000F504C"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available </w:t>
            </w:r>
            <w:proofErr w:type="spellStart"/>
            <w:r w:rsidRPr="00941DA8">
              <w:rPr>
                <w:rFonts w:ascii="Times New Roman" w:hAnsi="Times New Roman" w:cs="Times New Roman"/>
                <w:lang w:val="en-US"/>
              </w:rPr>
              <w:t>mFRR</w:t>
            </w:r>
            <w:proofErr w:type="spellEnd"/>
            <w:r w:rsidRPr="00941DA8">
              <w:rPr>
                <w:rFonts w:ascii="Times New Roman" w:hAnsi="Times New Roman" w:cs="Times New Roman"/>
                <w:lang w:val="en-US"/>
              </w:rPr>
              <w:t xml:space="preserve"> standard balancing energy bid with the highest price for downward activation. In case such bid is not available – TSO activates other product bid with the highest price for downward activation;</w:t>
            </w:r>
          </w:p>
        </w:tc>
        <w:tc>
          <w:tcPr>
            <w:tcW w:w="3760" w:type="dxa"/>
          </w:tcPr>
          <w:p w14:paraId="6CB69637" w14:textId="5736B9C2" w:rsidR="00422A2A" w:rsidRPr="00DB6AE9" w:rsidRDefault="00422A2A" w:rsidP="005A43AF">
            <w:pPr>
              <w:jc w:val="both"/>
              <w:rPr>
                <w:rFonts w:ascii="Times New Roman" w:hAnsi="Times New Roman" w:cs="Times New Roman"/>
                <w:sz w:val="24"/>
                <w:szCs w:val="24"/>
              </w:rPr>
            </w:pPr>
            <w:r w:rsidRPr="00DB6AE9">
              <w:rPr>
                <w:rFonts w:ascii="Times New Roman" w:hAnsi="Times New Roman" w:cs="Times New Roman"/>
                <w:sz w:val="24"/>
                <w:szCs w:val="24"/>
              </w:rPr>
              <w:t xml:space="preserve">pieejamos </w:t>
            </w:r>
            <w:proofErr w:type="spellStart"/>
            <w:r w:rsidRPr="00DB6AE9">
              <w:rPr>
                <w:rFonts w:ascii="Times New Roman" w:hAnsi="Times New Roman" w:cs="Times New Roman"/>
                <w:sz w:val="24"/>
                <w:szCs w:val="24"/>
              </w:rPr>
              <w:t>mFRR</w:t>
            </w:r>
            <w:proofErr w:type="spellEnd"/>
            <w:r w:rsidRPr="00DB6AE9">
              <w:rPr>
                <w:rFonts w:ascii="Times New Roman" w:hAnsi="Times New Roman" w:cs="Times New Roman"/>
                <w:sz w:val="24"/>
                <w:szCs w:val="24"/>
              </w:rPr>
              <w:t xml:space="preserve"> standarta produktu solījumus ar augstāko cenu  lejupvērstai aktivizēšanai;</w:t>
            </w:r>
            <w:r>
              <w:t xml:space="preserve"> </w:t>
            </w:r>
            <w:r w:rsidRPr="00263916">
              <w:rPr>
                <w:rFonts w:ascii="Times New Roman" w:hAnsi="Times New Roman" w:cs="Times New Roman"/>
                <w:sz w:val="24"/>
                <w:szCs w:val="24"/>
              </w:rPr>
              <w:t xml:space="preserve">Ja šis solījums nav pieejams – PSO aktivizē citu solījumu ar </w:t>
            </w:r>
            <w:r>
              <w:rPr>
                <w:rFonts w:ascii="Times New Roman" w:hAnsi="Times New Roman" w:cs="Times New Roman"/>
                <w:sz w:val="24"/>
                <w:szCs w:val="24"/>
              </w:rPr>
              <w:t>augstāko</w:t>
            </w:r>
            <w:r w:rsidRPr="00263916">
              <w:rPr>
                <w:rFonts w:ascii="Times New Roman" w:hAnsi="Times New Roman" w:cs="Times New Roman"/>
                <w:sz w:val="24"/>
                <w:szCs w:val="24"/>
              </w:rPr>
              <w:t xml:space="preserve"> cenu </w:t>
            </w:r>
            <w:r>
              <w:rPr>
                <w:rFonts w:ascii="Times New Roman" w:hAnsi="Times New Roman" w:cs="Times New Roman"/>
                <w:sz w:val="24"/>
                <w:szCs w:val="24"/>
              </w:rPr>
              <w:t>leju</w:t>
            </w:r>
            <w:r w:rsidRPr="00263916">
              <w:rPr>
                <w:rFonts w:ascii="Times New Roman" w:hAnsi="Times New Roman" w:cs="Times New Roman"/>
                <w:sz w:val="24"/>
                <w:szCs w:val="24"/>
              </w:rPr>
              <w:t>pvērstai aktivizācijai;</w:t>
            </w:r>
          </w:p>
          <w:p w14:paraId="5188E090" w14:textId="13B62CCC" w:rsidR="00422A2A" w:rsidRDefault="00422A2A" w:rsidP="005A43AF">
            <w:pPr>
              <w:jc w:val="both"/>
              <w:rPr>
                <w:rFonts w:ascii="Times New Roman" w:hAnsi="Times New Roman" w:cs="Times New Roman"/>
                <w:sz w:val="24"/>
                <w:szCs w:val="24"/>
              </w:rPr>
            </w:pPr>
          </w:p>
        </w:tc>
      </w:tr>
      <w:tr w:rsidR="00F527BD" w14:paraId="02146968" w14:textId="77777777" w:rsidTr="00F527BD">
        <w:trPr>
          <w:trHeight w:val="1910"/>
        </w:trPr>
        <w:tc>
          <w:tcPr>
            <w:tcW w:w="1276" w:type="dxa"/>
          </w:tcPr>
          <w:p w14:paraId="72583CC2" w14:textId="77777777" w:rsidR="00422A2A" w:rsidRPr="00941DA8" w:rsidRDefault="00422A2A" w:rsidP="005A43AF">
            <w:pPr>
              <w:pStyle w:val="Caption"/>
              <w:numPr>
                <w:ilvl w:val="2"/>
                <w:numId w:val="45"/>
              </w:numPr>
              <w:spacing w:before="0"/>
              <w:rPr>
                <w:rFonts w:ascii="Times New Roman" w:hAnsi="Times New Roman" w:cs="Times New Roman"/>
                <w:lang w:val="en-US"/>
              </w:rPr>
            </w:pPr>
          </w:p>
        </w:tc>
        <w:tc>
          <w:tcPr>
            <w:tcW w:w="3890" w:type="dxa"/>
          </w:tcPr>
          <w:p w14:paraId="475B61D6" w14:textId="10CF0DFC" w:rsidR="00422A2A" w:rsidRPr="000F504C"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all available bids with the same price in accordance with pro-rata principle (proportionally to the volume of the bid) for cases when the most advantageous price criteria </w:t>
            </w:r>
            <w:proofErr w:type="gramStart"/>
            <w:r w:rsidRPr="00941DA8">
              <w:rPr>
                <w:rFonts w:ascii="Times New Roman" w:hAnsi="Times New Roman" w:cs="Times New Roman"/>
                <w:lang w:val="en-US"/>
              </w:rPr>
              <w:t>is</w:t>
            </w:r>
            <w:proofErr w:type="gramEnd"/>
            <w:r w:rsidRPr="00941DA8">
              <w:rPr>
                <w:rFonts w:ascii="Times New Roman" w:hAnsi="Times New Roman" w:cs="Times New Roman"/>
                <w:lang w:val="en-US"/>
              </w:rPr>
              <w:t xml:space="preserve"> fulfilled by multiple bids. </w:t>
            </w:r>
          </w:p>
        </w:tc>
        <w:tc>
          <w:tcPr>
            <w:tcW w:w="3760" w:type="dxa"/>
          </w:tcPr>
          <w:p w14:paraId="17C52B22" w14:textId="4EE13FF0" w:rsidR="00422A2A" w:rsidRDefault="00422A2A" w:rsidP="005A43AF">
            <w:pPr>
              <w:jc w:val="both"/>
              <w:rPr>
                <w:rFonts w:ascii="Times New Roman" w:hAnsi="Times New Roman" w:cs="Times New Roman"/>
                <w:sz w:val="24"/>
                <w:szCs w:val="24"/>
              </w:rPr>
            </w:pPr>
            <w:r>
              <w:rPr>
                <w:rFonts w:ascii="Times New Roman" w:hAnsi="Times New Roman" w:cs="Times New Roman"/>
                <w:sz w:val="24"/>
                <w:szCs w:val="24"/>
              </w:rPr>
              <w:t>V</w:t>
            </w:r>
            <w:r w:rsidRPr="00DB6AE9">
              <w:rPr>
                <w:rFonts w:ascii="Times New Roman" w:hAnsi="Times New Roman" w:cs="Times New Roman"/>
                <w:sz w:val="24"/>
                <w:szCs w:val="24"/>
              </w:rPr>
              <w:t>isus pieejamos solījumus ar vienādu cenu, ievērojot proporcionalitātes (</w:t>
            </w:r>
            <w:proofErr w:type="spellStart"/>
            <w:r w:rsidRPr="00DB6AE9">
              <w:rPr>
                <w:rFonts w:ascii="Times New Roman" w:hAnsi="Times New Roman" w:cs="Times New Roman"/>
                <w:sz w:val="24"/>
                <w:szCs w:val="24"/>
              </w:rPr>
              <w:t>pro</w:t>
            </w:r>
            <w:proofErr w:type="spellEnd"/>
            <w:r w:rsidRPr="00DB6AE9">
              <w:rPr>
                <w:rFonts w:ascii="Times New Roman" w:hAnsi="Times New Roman" w:cs="Times New Roman"/>
                <w:sz w:val="24"/>
                <w:szCs w:val="24"/>
              </w:rPr>
              <w:t>-rata) principu (proporcionāli līdz solījuma apjomam) gadījumos, kad izdevīgākās cenas princips tiek ievērots ar vairākiem solījumiem.</w:t>
            </w:r>
          </w:p>
        </w:tc>
      </w:tr>
      <w:tr w:rsidR="00F527BD" w14:paraId="1DE20DE9" w14:textId="77777777" w:rsidTr="00F527BD">
        <w:trPr>
          <w:trHeight w:val="2193"/>
        </w:trPr>
        <w:tc>
          <w:tcPr>
            <w:tcW w:w="1276" w:type="dxa"/>
          </w:tcPr>
          <w:p w14:paraId="65C300FF" w14:textId="77777777" w:rsidR="00422A2A" w:rsidRPr="00941DA8" w:rsidRDefault="00422A2A" w:rsidP="005A43AF">
            <w:pPr>
              <w:pStyle w:val="Caption"/>
              <w:numPr>
                <w:ilvl w:val="1"/>
                <w:numId w:val="45"/>
              </w:numPr>
              <w:spacing w:before="0"/>
              <w:rPr>
                <w:rFonts w:ascii="Times New Roman" w:hAnsi="Times New Roman" w:cs="Times New Roman"/>
                <w:lang w:val="en-US"/>
              </w:rPr>
            </w:pPr>
          </w:p>
        </w:tc>
        <w:tc>
          <w:tcPr>
            <w:tcW w:w="3890" w:type="dxa"/>
          </w:tcPr>
          <w:p w14:paraId="0B10CE36" w14:textId="3E1FD1DE" w:rsidR="00422A2A" w:rsidRPr="00941DA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Normal and special activation of </w:t>
            </w:r>
            <w:r>
              <w:rPr>
                <w:rFonts w:ascii="Times New Roman" w:hAnsi="Times New Roman" w:cs="Times New Roman"/>
                <w:lang w:val="en-US"/>
              </w:rPr>
              <w:t xml:space="preserve">standard </w:t>
            </w: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product </w:t>
            </w:r>
            <w:r w:rsidRPr="00941DA8">
              <w:rPr>
                <w:rFonts w:ascii="Times New Roman" w:hAnsi="Times New Roman" w:cs="Times New Roman"/>
                <w:lang w:val="en-US"/>
              </w:rPr>
              <w:t xml:space="preserve">bids locally can be performed not following most advantageous price criteria listed in paragraph </w:t>
            </w:r>
            <w:r>
              <w:rPr>
                <w:rFonts w:ascii="Times New Roman" w:hAnsi="Times New Roman" w:cs="Times New Roman"/>
                <w:lang w:val="en-US"/>
              </w:rPr>
              <w:t>5.9.</w:t>
            </w:r>
            <w:r w:rsidRPr="00941DA8">
              <w:rPr>
                <w:rFonts w:ascii="Times New Roman" w:hAnsi="Times New Roman" w:cs="Times New Roman"/>
                <w:lang w:val="en-US"/>
              </w:rPr>
              <w:t xml:space="preserve"> in following cases:</w:t>
            </w:r>
          </w:p>
          <w:p w14:paraId="38DD0DE9" w14:textId="77777777" w:rsidR="00422A2A" w:rsidRPr="00941DA8" w:rsidRDefault="00422A2A" w:rsidP="005A43AF">
            <w:pPr>
              <w:pStyle w:val="Caption"/>
              <w:spacing w:before="0"/>
              <w:rPr>
                <w:rFonts w:ascii="Times New Roman" w:hAnsi="Times New Roman" w:cs="Times New Roman"/>
                <w:lang w:val="en-US"/>
              </w:rPr>
            </w:pPr>
          </w:p>
        </w:tc>
        <w:tc>
          <w:tcPr>
            <w:tcW w:w="3760" w:type="dxa"/>
          </w:tcPr>
          <w:p w14:paraId="136B7E89" w14:textId="265BE567" w:rsidR="00422A2A" w:rsidRDefault="00422A2A" w:rsidP="005A43AF">
            <w:pPr>
              <w:jc w:val="both"/>
            </w:pP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produkta solījumu normālā lokālā un speciālā aktivizācija var tikt veikta, neievērojot 5.9. punktā minēto izdevīgākās cenas principu, šādos gadījumos:</w:t>
            </w:r>
          </w:p>
        </w:tc>
      </w:tr>
      <w:tr w:rsidR="00F527BD" w14:paraId="15AA5E7E" w14:textId="77777777" w:rsidTr="00F527BD">
        <w:trPr>
          <w:trHeight w:val="2191"/>
        </w:trPr>
        <w:tc>
          <w:tcPr>
            <w:tcW w:w="1276" w:type="dxa"/>
          </w:tcPr>
          <w:p w14:paraId="7034F253" w14:textId="77777777" w:rsidR="00422A2A" w:rsidRPr="00941DA8" w:rsidRDefault="00422A2A" w:rsidP="005A43AF">
            <w:pPr>
              <w:pStyle w:val="Caption"/>
              <w:numPr>
                <w:ilvl w:val="2"/>
                <w:numId w:val="45"/>
              </w:numPr>
              <w:spacing w:before="0"/>
              <w:rPr>
                <w:rFonts w:ascii="Times New Roman" w:hAnsi="Times New Roman" w:cs="Times New Roman"/>
                <w:lang w:val="en-US"/>
              </w:rPr>
            </w:pPr>
          </w:p>
        </w:tc>
        <w:tc>
          <w:tcPr>
            <w:tcW w:w="3890" w:type="dxa"/>
          </w:tcPr>
          <w:p w14:paraId="1472C34D" w14:textId="050A1E31" w:rsidR="00422A2A" w:rsidRPr="00B206C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 xml:space="preserve">when the most price advantageous bid is an indivisible bid, which exceeds the activation needs. The indivisible bid shall be skipped, and the next available bid shall be activated in required volume. The indivisible bid can still be activated, if activation does not compromise system security and contributes to minimizing the balancing costs during a </w:t>
            </w:r>
            <w:r w:rsidRPr="00B206C8">
              <w:rPr>
                <w:rFonts w:ascii="Times New Roman" w:hAnsi="Times New Roman" w:cs="Times New Roman"/>
                <w:lang w:val="en-US"/>
              </w:rPr>
              <w:t xml:space="preserve">particular </w:t>
            </w: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w:t>
            </w:r>
            <w:r w:rsidRPr="00B206C8">
              <w:rPr>
                <w:rFonts w:ascii="Times New Roman" w:hAnsi="Times New Roman" w:cs="Times New Roman"/>
                <w:lang w:val="en-US"/>
              </w:rPr>
              <w:t>MTU;</w:t>
            </w:r>
          </w:p>
          <w:p w14:paraId="7123804B" w14:textId="77777777" w:rsidR="00422A2A" w:rsidRPr="00941DA8" w:rsidRDefault="00422A2A" w:rsidP="005A43AF">
            <w:pPr>
              <w:pStyle w:val="Caption"/>
              <w:spacing w:before="0"/>
              <w:rPr>
                <w:rFonts w:ascii="Times New Roman" w:hAnsi="Times New Roman" w:cs="Times New Roman"/>
                <w:lang w:val="en-US"/>
              </w:rPr>
            </w:pPr>
          </w:p>
        </w:tc>
        <w:tc>
          <w:tcPr>
            <w:tcW w:w="3760" w:type="dxa"/>
          </w:tcPr>
          <w:p w14:paraId="1AA20319" w14:textId="6F48F77E"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kad izdevīgākais solījums ir nedalāmais solījums un tas pārsniedz aktivizējamās jaudas nepieciešamību. Šādā gadījumā nedalāmais solījums tiek izlaists un tiek aktivizēts nākamais pieejamais solījums atbilstoši nepieciešamajam daudzumam. Nedalāmais solījums joprojām var tikt aktivizēts, ja aktivizēšana neapdraud sistēmas drošību un palīdz samazināt balansēšanas izmaksas konkrētā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MTU;</w:t>
            </w:r>
          </w:p>
          <w:p w14:paraId="79FDB8E0" w14:textId="1B9FAF52" w:rsidR="00422A2A" w:rsidRDefault="00422A2A" w:rsidP="005A43AF">
            <w:pPr>
              <w:pStyle w:val="ListParagraph"/>
              <w:ind w:left="540"/>
              <w:contextualSpacing w:val="0"/>
              <w:jc w:val="both"/>
              <w:rPr>
                <w:rFonts w:ascii="Times New Roman" w:hAnsi="Times New Roman" w:cs="Times New Roman"/>
                <w:sz w:val="24"/>
                <w:szCs w:val="24"/>
              </w:rPr>
            </w:pPr>
          </w:p>
        </w:tc>
      </w:tr>
      <w:tr w:rsidR="00F527BD" w14:paraId="6020F75F" w14:textId="77777777" w:rsidTr="00F527BD">
        <w:trPr>
          <w:trHeight w:val="2191"/>
        </w:trPr>
        <w:tc>
          <w:tcPr>
            <w:tcW w:w="1276" w:type="dxa"/>
          </w:tcPr>
          <w:p w14:paraId="745A3316" w14:textId="77777777" w:rsidR="00422A2A" w:rsidRPr="00B206C8" w:rsidRDefault="00422A2A" w:rsidP="005A43AF">
            <w:pPr>
              <w:pStyle w:val="Caption"/>
              <w:numPr>
                <w:ilvl w:val="2"/>
                <w:numId w:val="45"/>
              </w:numPr>
              <w:spacing w:before="0"/>
              <w:ind w:left="741"/>
              <w:rPr>
                <w:rFonts w:ascii="Times New Roman" w:hAnsi="Times New Roman" w:cs="Times New Roman"/>
                <w:lang w:val="en-US"/>
              </w:rPr>
            </w:pPr>
          </w:p>
        </w:tc>
        <w:tc>
          <w:tcPr>
            <w:tcW w:w="3890" w:type="dxa"/>
          </w:tcPr>
          <w:p w14:paraId="720B13D7" w14:textId="3A4140A8" w:rsidR="00422A2A" w:rsidRPr="00941DA8" w:rsidRDefault="00422A2A" w:rsidP="00013652">
            <w:pPr>
              <w:pStyle w:val="Caption"/>
              <w:spacing w:before="0"/>
              <w:ind w:left="21"/>
              <w:rPr>
                <w:rFonts w:ascii="Times New Roman" w:hAnsi="Times New Roman" w:cs="Times New Roman"/>
                <w:lang w:val="en-US"/>
              </w:rPr>
            </w:pPr>
            <w:r w:rsidRPr="00B206C8">
              <w:rPr>
                <w:rFonts w:ascii="Times New Roman" w:hAnsi="Times New Roman" w:cs="Times New Roman"/>
                <w:lang w:val="en-US"/>
              </w:rPr>
              <w:t>when the most price advantageous</w:t>
            </w:r>
            <w:r>
              <w:rPr>
                <w:rFonts w:ascii="Times New Roman" w:hAnsi="Times New Roman" w:cs="Times New Roman"/>
                <w:lang w:val="en-US"/>
              </w:rPr>
              <w:t xml:space="preserve"> </w:t>
            </w:r>
            <w:proofErr w:type="spellStart"/>
            <w:r>
              <w:rPr>
                <w:rFonts w:ascii="Times New Roman" w:hAnsi="Times New Roman" w:cs="Times New Roman"/>
                <w:lang w:val="en-US"/>
              </w:rPr>
              <w:t>mFRR</w:t>
            </w:r>
            <w:proofErr w:type="spellEnd"/>
            <w:r w:rsidRPr="00B206C8">
              <w:rPr>
                <w:rFonts w:ascii="Times New Roman" w:hAnsi="Times New Roman" w:cs="Times New Roman"/>
                <w:lang w:val="en-US"/>
              </w:rPr>
              <w:t xml:space="preserve"> </w:t>
            </w:r>
            <w:r>
              <w:rPr>
                <w:rFonts w:ascii="Times New Roman" w:hAnsi="Times New Roman" w:cs="Times New Roman"/>
                <w:lang w:val="en-US"/>
              </w:rPr>
              <w:t xml:space="preserve">standard product </w:t>
            </w:r>
            <w:r w:rsidRPr="00B206C8">
              <w:rPr>
                <w:rFonts w:ascii="Times New Roman" w:hAnsi="Times New Roman" w:cs="Times New Roman"/>
                <w:lang w:val="en-US"/>
              </w:rPr>
              <w:t>bid is technically or conditionally linked with another bid or in case of a complex bid that has a lower price advantage. The linked bids can still be activated, if activation does not compromise system security and</w:t>
            </w:r>
            <w:r w:rsidRPr="00941DA8">
              <w:rPr>
                <w:rFonts w:ascii="Times New Roman" w:hAnsi="Times New Roman" w:cs="Times New Roman"/>
                <w:lang w:val="en-US"/>
              </w:rPr>
              <w:t xml:space="preserve"> contributes to minimizing the balancing costs during a particular </w:t>
            </w:r>
            <w:proofErr w:type="spellStart"/>
            <w:r>
              <w:rPr>
                <w:rFonts w:ascii="Times New Roman" w:hAnsi="Times New Roman" w:cs="Times New Roman"/>
                <w:lang w:val="en-US"/>
              </w:rPr>
              <w:t>mFRR</w:t>
            </w:r>
            <w:proofErr w:type="spellEnd"/>
            <w:r>
              <w:rPr>
                <w:rFonts w:ascii="Times New Roman" w:hAnsi="Times New Roman" w:cs="Times New Roman"/>
                <w:lang w:val="en-US"/>
              </w:rPr>
              <w:t xml:space="preserve"> </w:t>
            </w:r>
            <w:r w:rsidRPr="00941DA8">
              <w:rPr>
                <w:rFonts w:ascii="Times New Roman" w:hAnsi="Times New Roman" w:cs="Times New Roman"/>
                <w:lang w:val="en-US"/>
              </w:rPr>
              <w:t>MTU;</w:t>
            </w:r>
          </w:p>
          <w:p w14:paraId="43F7B7A7" w14:textId="77777777" w:rsidR="00422A2A" w:rsidRPr="00941DA8" w:rsidRDefault="00422A2A" w:rsidP="005A43AF">
            <w:pPr>
              <w:pStyle w:val="Caption"/>
              <w:spacing w:before="0"/>
              <w:ind w:left="21"/>
              <w:rPr>
                <w:rFonts w:ascii="Times New Roman" w:hAnsi="Times New Roman" w:cs="Times New Roman"/>
                <w:lang w:val="en-US"/>
              </w:rPr>
            </w:pPr>
          </w:p>
        </w:tc>
        <w:tc>
          <w:tcPr>
            <w:tcW w:w="3760" w:type="dxa"/>
          </w:tcPr>
          <w:p w14:paraId="58891144" w14:textId="77777777"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kad cenas ziņā visizdevīgākais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standarta produkta solījums ir tehniski vai nosacīti saistīts ar citu solījumu vai kompleksa solījuma gadījumā, kuram ir zemākas cenas priekšrocība. Saistītais solījums joprojām var tikt aktivizēts, ja aktivizēšana neapdraud sistēmas drošību un palīdz samazināt balansēšanas izmaksas konkrētā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MTU;</w:t>
            </w:r>
          </w:p>
          <w:p w14:paraId="114D5E22" w14:textId="1F2E3859" w:rsidR="00422A2A" w:rsidRDefault="00422A2A" w:rsidP="005A43AF">
            <w:pPr>
              <w:pStyle w:val="ListParagraph"/>
              <w:ind w:left="540"/>
              <w:contextualSpacing w:val="0"/>
              <w:jc w:val="both"/>
              <w:rPr>
                <w:rFonts w:ascii="Times New Roman" w:hAnsi="Times New Roman" w:cs="Times New Roman"/>
                <w:sz w:val="24"/>
                <w:szCs w:val="24"/>
              </w:rPr>
            </w:pPr>
          </w:p>
        </w:tc>
      </w:tr>
      <w:tr w:rsidR="00F527BD" w14:paraId="298AC3D2" w14:textId="77777777" w:rsidTr="00F527BD">
        <w:trPr>
          <w:trHeight w:val="2191"/>
        </w:trPr>
        <w:tc>
          <w:tcPr>
            <w:tcW w:w="1276" w:type="dxa"/>
          </w:tcPr>
          <w:p w14:paraId="59CCA1FA" w14:textId="77777777" w:rsidR="00422A2A" w:rsidRPr="00941DA8" w:rsidRDefault="00422A2A" w:rsidP="005A43AF">
            <w:pPr>
              <w:pStyle w:val="Caption"/>
              <w:numPr>
                <w:ilvl w:val="2"/>
                <w:numId w:val="45"/>
              </w:numPr>
              <w:spacing w:before="0"/>
              <w:ind w:left="741"/>
              <w:rPr>
                <w:rFonts w:ascii="Times New Roman" w:hAnsi="Times New Roman" w:cs="Times New Roman"/>
                <w:lang w:val="en-US"/>
              </w:rPr>
            </w:pPr>
          </w:p>
        </w:tc>
        <w:tc>
          <w:tcPr>
            <w:tcW w:w="3890" w:type="dxa"/>
          </w:tcPr>
          <w:p w14:paraId="2CDD7B5B" w14:textId="4366CCD3" w:rsidR="00422A2A" w:rsidRPr="00941DA8" w:rsidRDefault="00422A2A" w:rsidP="00013652">
            <w:pPr>
              <w:pStyle w:val="Caption"/>
              <w:spacing w:before="0"/>
              <w:ind w:left="21"/>
              <w:rPr>
                <w:rFonts w:ascii="Times New Roman" w:hAnsi="Times New Roman" w:cs="Times New Roman"/>
                <w:lang w:val="en-US"/>
              </w:rPr>
            </w:pPr>
            <w:r w:rsidRPr="00941DA8">
              <w:rPr>
                <w:rFonts w:ascii="Times New Roman" w:hAnsi="Times New Roman" w:cs="Times New Roman"/>
                <w:lang w:val="en-US"/>
              </w:rPr>
              <w:t>when the most price advantageous bid for special activation purposes does not contribute towards the objective of the special activation;</w:t>
            </w:r>
          </w:p>
          <w:p w14:paraId="6BBEDA1D" w14:textId="77777777" w:rsidR="00422A2A" w:rsidRPr="00941DA8" w:rsidRDefault="00422A2A" w:rsidP="005A43AF">
            <w:pPr>
              <w:pStyle w:val="Caption"/>
              <w:spacing w:before="0"/>
              <w:rPr>
                <w:rFonts w:ascii="Times New Roman" w:hAnsi="Times New Roman" w:cs="Times New Roman"/>
                <w:lang w:val="en-US"/>
              </w:rPr>
            </w:pPr>
          </w:p>
        </w:tc>
        <w:tc>
          <w:tcPr>
            <w:tcW w:w="3760" w:type="dxa"/>
          </w:tcPr>
          <w:p w14:paraId="37A5E60B" w14:textId="77777777"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kad cenas ziņā visizdevīgākais solījums speciālās aktivizācijas mērķiem neveicina speciālās aktivizācijas mērķa sasniegšanu;</w:t>
            </w:r>
          </w:p>
          <w:p w14:paraId="13C28C3D" w14:textId="77777777" w:rsidR="00422A2A" w:rsidRPr="0030041C" w:rsidRDefault="00422A2A" w:rsidP="005A43AF">
            <w:pPr>
              <w:jc w:val="both"/>
              <w:rPr>
                <w:rFonts w:ascii="Times New Roman" w:hAnsi="Times New Roman" w:cs="Times New Roman"/>
                <w:sz w:val="24"/>
                <w:szCs w:val="24"/>
              </w:rPr>
            </w:pPr>
          </w:p>
        </w:tc>
      </w:tr>
      <w:tr w:rsidR="00F527BD" w14:paraId="7DF6C194" w14:textId="77777777" w:rsidTr="00F527BD">
        <w:trPr>
          <w:trHeight w:val="2191"/>
        </w:trPr>
        <w:tc>
          <w:tcPr>
            <w:tcW w:w="1276" w:type="dxa"/>
          </w:tcPr>
          <w:p w14:paraId="2A9A9E20" w14:textId="77777777" w:rsidR="00422A2A" w:rsidRPr="00941DA8" w:rsidRDefault="00422A2A" w:rsidP="005A43AF">
            <w:pPr>
              <w:pStyle w:val="Caption"/>
              <w:numPr>
                <w:ilvl w:val="2"/>
                <w:numId w:val="45"/>
              </w:numPr>
              <w:spacing w:before="0"/>
              <w:ind w:left="741"/>
              <w:rPr>
                <w:rFonts w:ascii="Times New Roman" w:hAnsi="Times New Roman" w:cs="Times New Roman"/>
                <w:lang w:val="en-US"/>
              </w:rPr>
            </w:pPr>
          </w:p>
        </w:tc>
        <w:tc>
          <w:tcPr>
            <w:tcW w:w="3890" w:type="dxa"/>
          </w:tcPr>
          <w:p w14:paraId="7270CCB6" w14:textId="1A6EE02B" w:rsidR="00422A2A" w:rsidRPr="00941DA8" w:rsidRDefault="00422A2A" w:rsidP="00013652">
            <w:pPr>
              <w:pStyle w:val="Caption"/>
              <w:spacing w:before="0"/>
              <w:ind w:left="21"/>
              <w:rPr>
                <w:rFonts w:ascii="Times New Roman" w:hAnsi="Times New Roman" w:cs="Times New Roman"/>
                <w:lang w:val="en-US"/>
              </w:rPr>
            </w:pPr>
            <w:r w:rsidRPr="00941DA8">
              <w:rPr>
                <w:rFonts w:ascii="Times New Roman" w:hAnsi="Times New Roman" w:cs="Times New Roman"/>
                <w:lang w:val="en-US"/>
              </w:rPr>
              <w:t>during alert state, emergency state, blackout state and restoration state of power system state, when the most price advantageous bid would not mitigate the severity of the current system state.</w:t>
            </w:r>
          </w:p>
          <w:p w14:paraId="4B8729F4" w14:textId="77777777" w:rsidR="00422A2A" w:rsidRPr="00941DA8" w:rsidRDefault="00422A2A" w:rsidP="005A43AF">
            <w:pPr>
              <w:pStyle w:val="Caption"/>
              <w:spacing w:before="0"/>
              <w:rPr>
                <w:rFonts w:ascii="Times New Roman" w:hAnsi="Times New Roman" w:cs="Times New Roman"/>
                <w:lang w:val="en-US"/>
              </w:rPr>
            </w:pPr>
          </w:p>
        </w:tc>
        <w:tc>
          <w:tcPr>
            <w:tcW w:w="3760" w:type="dxa"/>
          </w:tcPr>
          <w:p w14:paraId="1B61473D" w14:textId="7D0E7797" w:rsidR="00422A2A" w:rsidRPr="00390759" w:rsidRDefault="00422A2A" w:rsidP="005A43AF">
            <w:pPr>
              <w:jc w:val="both"/>
              <w:rPr>
                <w:rFonts w:ascii="Times New Roman" w:hAnsi="Times New Roman" w:cs="Times New Roman"/>
                <w:sz w:val="24"/>
                <w:szCs w:val="24"/>
              </w:rPr>
            </w:pPr>
            <w:r>
              <w:rPr>
                <w:rFonts w:ascii="Times New Roman" w:hAnsi="Times New Roman" w:cs="Times New Roman"/>
                <w:sz w:val="24"/>
                <w:szCs w:val="24"/>
              </w:rPr>
              <w:t xml:space="preserve">trauksmes </w:t>
            </w:r>
            <w:r w:rsidRPr="00941DA8">
              <w:rPr>
                <w:rFonts w:ascii="Times New Roman" w:hAnsi="Times New Roman" w:cs="Times New Roman"/>
                <w:sz w:val="24"/>
                <w:szCs w:val="24"/>
              </w:rPr>
              <w:t>stāvokļa, avārijas stāvokļa, atslēgšanas stāvokļa un energosistēmas stāvokļa atjaunošanas laikā, kad cenas ziņā izdevīgākais solījums nemazinātu pašreizējā sistēmas stāvokļa smagumu.</w:t>
            </w:r>
          </w:p>
        </w:tc>
      </w:tr>
      <w:tr w:rsidR="00F527BD" w14:paraId="1F04FAFB" w14:textId="77777777" w:rsidTr="00F527BD">
        <w:tc>
          <w:tcPr>
            <w:tcW w:w="1276" w:type="dxa"/>
          </w:tcPr>
          <w:p w14:paraId="07EFA9FD" w14:textId="77777777" w:rsidR="00422A2A" w:rsidRPr="00941DA8" w:rsidRDefault="00422A2A" w:rsidP="005A43AF">
            <w:pPr>
              <w:pStyle w:val="Caption"/>
              <w:numPr>
                <w:ilvl w:val="1"/>
                <w:numId w:val="45"/>
              </w:numPr>
              <w:spacing w:before="0"/>
              <w:rPr>
                <w:rFonts w:ascii="Times New Roman" w:hAnsi="Times New Roman" w:cs="Times New Roman"/>
                <w:lang w:val="en-US"/>
              </w:rPr>
            </w:pPr>
          </w:p>
        </w:tc>
        <w:tc>
          <w:tcPr>
            <w:tcW w:w="3890" w:type="dxa"/>
          </w:tcPr>
          <w:p w14:paraId="763D2426" w14:textId="08B0F690" w:rsidR="00422A2A" w:rsidRPr="00941DA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Balancing energy bids shall not be activated or reserved before the corresponding balancing energy GCT and the intraday cross-zonal GCT, except cases of alert system state or emergency system state to mitigate the severity of these system states.</w:t>
            </w:r>
          </w:p>
          <w:p w14:paraId="59DCFA19" w14:textId="77777777" w:rsidR="00422A2A" w:rsidRPr="00941DA8" w:rsidRDefault="00422A2A" w:rsidP="005A43AF">
            <w:pPr>
              <w:pStyle w:val="Caption"/>
              <w:spacing w:before="0"/>
              <w:rPr>
                <w:rFonts w:ascii="Times New Roman" w:hAnsi="Times New Roman" w:cs="Times New Roman"/>
                <w:lang w:val="en-US"/>
              </w:rPr>
            </w:pPr>
          </w:p>
        </w:tc>
        <w:tc>
          <w:tcPr>
            <w:tcW w:w="3760" w:type="dxa"/>
          </w:tcPr>
          <w:p w14:paraId="0D736561" w14:textId="4EA47488" w:rsidR="00422A2A" w:rsidRPr="007B791C" w:rsidRDefault="00422A2A" w:rsidP="005A43AF">
            <w:pPr>
              <w:jc w:val="both"/>
              <w:rPr>
                <w:rFonts w:ascii="Times New Roman" w:hAnsi="Times New Roman" w:cs="Times New Roman"/>
                <w:sz w:val="24"/>
                <w:szCs w:val="24"/>
              </w:rPr>
            </w:pPr>
            <w:proofErr w:type="spellStart"/>
            <w:r w:rsidRPr="007B791C">
              <w:rPr>
                <w:rFonts w:ascii="Times New Roman" w:hAnsi="Times New Roman" w:cs="Times New Roman"/>
                <w:sz w:val="24"/>
                <w:szCs w:val="24"/>
              </w:rPr>
              <w:t>mFRR</w:t>
            </w:r>
            <w:proofErr w:type="spellEnd"/>
            <w:r w:rsidRPr="007B791C">
              <w:rPr>
                <w:rFonts w:ascii="Times New Roman" w:hAnsi="Times New Roman" w:cs="Times New Roman"/>
                <w:sz w:val="24"/>
                <w:szCs w:val="24"/>
              </w:rPr>
              <w:t xml:space="preserve"> regulēšanas produkta solījumus neaktivizē </w:t>
            </w:r>
            <w:r>
              <w:rPr>
                <w:rFonts w:ascii="Times New Roman" w:hAnsi="Times New Roman" w:cs="Times New Roman"/>
                <w:sz w:val="24"/>
                <w:szCs w:val="24"/>
              </w:rPr>
              <w:t xml:space="preserve">vai nerezervē </w:t>
            </w:r>
            <w:r w:rsidRPr="007B791C">
              <w:rPr>
                <w:rFonts w:ascii="Times New Roman" w:hAnsi="Times New Roman" w:cs="Times New Roman"/>
                <w:sz w:val="24"/>
                <w:szCs w:val="24"/>
              </w:rPr>
              <w:t>pirms atbilstošā regulēšanas produkta solījumu iesniegšanas beigu laika (GCT)</w:t>
            </w:r>
            <w:r>
              <w:rPr>
                <w:rFonts w:ascii="Times New Roman" w:hAnsi="Times New Roman" w:cs="Times New Roman"/>
                <w:sz w:val="24"/>
                <w:szCs w:val="24"/>
              </w:rPr>
              <w:t xml:space="preserve"> un tekošās dienas </w:t>
            </w:r>
            <w:proofErr w:type="spellStart"/>
            <w:r>
              <w:rPr>
                <w:rFonts w:ascii="Times New Roman" w:hAnsi="Times New Roman" w:cs="Times New Roman"/>
                <w:sz w:val="24"/>
                <w:szCs w:val="24"/>
              </w:rPr>
              <w:t>starpzonu</w:t>
            </w:r>
            <w:proofErr w:type="spellEnd"/>
            <w:r>
              <w:rPr>
                <w:rFonts w:ascii="Times New Roman" w:hAnsi="Times New Roman" w:cs="Times New Roman"/>
                <w:sz w:val="24"/>
                <w:szCs w:val="24"/>
              </w:rPr>
              <w:t xml:space="preserve"> GCT</w:t>
            </w:r>
            <w:r w:rsidRPr="007B791C">
              <w:rPr>
                <w:rFonts w:ascii="Times New Roman" w:hAnsi="Times New Roman" w:cs="Times New Roman"/>
                <w:sz w:val="24"/>
                <w:szCs w:val="24"/>
              </w:rPr>
              <w:t>, izņemot sistēmas trauksmes stāvokļa vai sistēmas ārkārtas stāvokļa gadījumos, lai mazinātu šo sistēmas stāvokļu nopietnību.</w:t>
            </w:r>
          </w:p>
        </w:tc>
      </w:tr>
      <w:tr w:rsidR="00F527BD" w14:paraId="70D31A9C" w14:textId="77777777" w:rsidTr="00F527BD">
        <w:tc>
          <w:tcPr>
            <w:tcW w:w="1276" w:type="dxa"/>
          </w:tcPr>
          <w:p w14:paraId="4181045A" w14:textId="77777777" w:rsidR="00422A2A" w:rsidRPr="00941DA8" w:rsidRDefault="00422A2A" w:rsidP="005A43AF">
            <w:pPr>
              <w:pStyle w:val="Heading2"/>
              <w:numPr>
                <w:ilvl w:val="0"/>
                <w:numId w:val="45"/>
              </w:numPr>
              <w:spacing w:before="0" w:after="0"/>
              <w:jc w:val="center"/>
              <w:rPr>
                <w:rFonts w:ascii="Times New Roman" w:hAnsi="Times New Roman" w:cs="Times New Roman"/>
                <w:b/>
                <w:bCs/>
                <w:color w:val="auto"/>
                <w:sz w:val="24"/>
                <w:szCs w:val="24"/>
                <w:lang w:val="en-GB"/>
              </w:rPr>
            </w:pPr>
          </w:p>
        </w:tc>
        <w:tc>
          <w:tcPr>
            <w:tcW w:w="3890" w:type="dxa"/>
          </w:tcPr>
          <w:p w14:paraId="25C94D11" w14:textId="105900D1" w:rsidR="00422A2A" w:rsidRPr="00941DA8" w:rsidRDefault="00422A2A" w:rsidP="00013652">
            <w:pPr>
              <w:pStyle w:val="Heading2"/>
              <w:spacing w:before="0" w:after="0"/>
              <w:jc w:val="center"/>
              <w:rPr>
                <w:rFonts w:ascii="Times New Roman" w:hAnsi="Times New Roman" w:cs="Times New Roman"/>
                <w:b/>
                <w:bCs/>
                <w:sz w:val="24"/>
                <w:szCs w:val="24"/>
              </w:rPr>
            </w:pPr>
            <w:r w:rsidRPr="00941DA8">
              <w:rPr>
                <w:rFonts w:ascii="Times New Roman" w:hAnsi="Times New Roman" w:cs="Times New Roman"/>
                <w:b/>
                <w:bCs/>
                <w:color w:val="auto"/>
                <w:sz w:val="24"/>
                <w:szCs w:val="24"/>
                <w:lang w:val="en-GB"/>
              </w:rPr>
              <w:t>Cross-zonal capacity within the balancing timeframe</w:t>
            </w:r>
          </w:p>
        </w:tc>
        <w:tc>
          <w:tcPr>
            <w:tcW w:w="3760" w:type="dxa"/>
          </w:tcPr>
          <w:p w14:paraId="369E453E" w14:textId="36AAEAE4" w:rsidR="00422A2A" w:rsidRPr="0030041C" w:rsidRDefault="00422A2A" w:rsidP="005A43AF">
            <w:pPr>
              <w:jc w:val="center"/>
              <w:rPr>
                <w:rFonts w:ascii="Times New Roman" w:hAnsi="Times New Roman" w:cs="Times New Roman"/>
                <w:b/>
                <w:bCs/>
                <w:sz w:val="24"/>
                <w:szCs w:val="24"/>
              </w:rPr>
            </w:pPr>
            <w:proofErr w:type="spellStart"/>
            <w:r w:rsidRPr="0030041C">
              <w:rPr>
                <w:rFonts w:ascii="Times New Roman" w:hAnsi="Times New Roman" w:cs="Times New Roman"/>
                <w:b/>
                <w:bCs/>
                <w:sz w:val="24"/>
                <w:szCs w:val="24"/>
              </w:rPr>
              <w:t>Starpzonas</w:t>
            </w:r>
            <w:proofErr w:type="spellEnd"/>
            <w:r w:rsidRPr="0030041C">
              <w:rPr>
                <w:rFonts w:ascii="Times New Roman" w:hAnsi="Times New Roman" w:cs="Times New Roman"/>
                <w:b/>
                <w:bCs/>
                <w:sz w:val="24"/>
                <w:szCs w:val="24"/>
              </w:rPr>
              <w:t xml:space="preserve"> jauda balansēšanas laika posmam</w:t>
            </w:r>
          </w:p>
        </w:tc>
      </w:tr>
      <w:tr w:rsidR="00F527BD" w14:paraId="4A3BF5F9" w14:textId="77777777" w:rsidTr="00F527BD">
        <w:tc>
          <w:tcPr>
            <w:tcW w:w="1276" w:type="dxa"/>
          </w:tcPr>
          <w:p w14:paraId="081E0B48" w14:textId="77777777" w:rsidR="00422A2A" w:rsidRPr="0030041C" w:rsidRDefault="00422A2A" w:rsidP="005A43AF">
            <w:pPr>
              <w:pStyle w:val="Caption"/>
              <w:numPr>
                <w:ilvl w:val="1"/>
                <w:numId w:val="47"/>
              </w:numPr>
              <w:spacing w:before="0"/>
              <w:rPr>
                <w:rFonts w:ascii="Times New Roman" w:hAnsi="Times New Roman" w:cs="Times New Roman"/>
                <w:lang w:val="en-US"/>
              </w:rPr>
            </w:pPr>
          </w:p>
        </w:tc>
        <w:tc>
          <w:tcPr>
            <w:tcW w:w="3890" w:type="dxa"/>
          </w:tcPr>
          <w:p w14:paraId="6DB0D0A0" w14:textId="0D90D3E7" w:rsidR="00422A2A" w:rsidRPr="00941DA8" w:rsidRDefault="00422A2A" w:rsidP="00013652">
            <w:pPr>
              <w:pStyle w:val="Caption"/>
              <w:spacing w:before="0"/>
              <w:rPr>
                <w:rFonts w:eastAsia="Times New Roman"/>
                <w:lang w:val="en-US"/>
              </w:rPr>
            </w:pPr>
            <w:r w:rsidRPr="0030041C">
              <w:rPr>
                <w:rFonts w:ascii="Times New Roman" w:hAnsi="Times New Roman" w:cs="Times New Roman"/>
                <w:lang w:val="en-US"/>
              </w:rPr>
              <w:t>Cross-zonal capacities within the balancing timeframe are calculated separately for each cross-border and for each direction in accordance with Baltic Capacity Calculation Region methodology pursuant to Article 37(.3) of EB regulation.</w:t>
            </w:r>
            <w:r w:rsidRPr="00941DA8">
              <w:rPr>
                <w:rFonts w:eastAsia="Times New Roman"/>
                <w:lang w:val="en-US"/>
              </w:rPr>
              <w:t> </w:t>
            </w:r>
            <w:r w:rsidRPr="00941DA8">
              <w:rPr>
                <w:rFonts w:eastAsia="Times New Roman"/>
                <w:lang w:val="lv-LV"/>
              </w:rPr>
              <w:t> </w:t>
            </w:r>
          </w:p>
        </w:tc>
        <w:tc>
          <w:tcPr>
            <w:tcW w:w="3760" w:type="dxa"/>
          </w:tcPr>
          <w:p w14:paraId="33407101" w14:textId="7523AD69"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Starpzonu</w:t>
            </w:r>
            <w:proofErr w:type="spellEnd"/>
            <w:r w:rsidRPr="0030041C">
              <w:rPr>
                <w:rFonts w:ascii="Times New Roman" w:hAnsi="Times New Roman" w:cs="Times New Roman"/>
                <w:sz w:val="24"/>
                <w:szCs w:val="24"/>
              </w:rPr>
              <w:t xml:space="preserve"> jauda balansēšanas laika posmam tiek aprēķināta atsevišķi katrai robežai un katram virzienam saskaņā ar Baltijas jaudas aprēķināšanas reģiona metodiku, kas izstrādāti saskaņā ar EB regulas 37. panta 3. punktu.</w:t>
            </w:r>
          </w:p>
        </w:tc>
      </w:tr>
      <w:tr w:rsidR="00F527BD" w14:paraId="071CFED6" w14:textId="77777777" w:rsidTr="00F527BD">
        <w:tc>
          <w:tcPr>
            <w:tcW w:w="1276" w:type="dxa"/>
          </w:tcPr>
          <w:p w14:paraId="2F6A61A0" w14:textId="77777777" w:rsidR="00422A2A" w:rsidRPr="00EB5E52" w:rsidRDefault="00422A2A" w:rsidP="005A43AF">
            <w:pPr>
              <w:pStyle w:val="Caption"/>
              <w:numPr>
                <w:ilvl w:val="1"/>
                <w:numId w:val="47"/>
              </w:numPr>
              <w:spacing w:before="0"/>
              <w:rPr>
                <w:rFonts w:ascii="Times New Roman" w:hAnsi="Times New Roman" w:cs="Times New Roman"/>
                <w:lang w:val="en-US"/>
              </w:rPr>
            </w:pPr>
          </w:p>
        </w:tc>
        <w:tc>
          <w:tcPr>
            <w:tcW w:w="3890" w:type="dxa"/>
          </w:tcPr>
          <w:p w14:paraId="79583DA6" w14:textId="03A36BC7" w:rsidR="00422A2A" w:rsidRPr="00941DA8" w:rsidRDefault="00422A2A" w:rsidP="00013652">
            <w:pPr>
              <w:pStyle w:val="Caption"/>
              <w:spacing w:before="0"/>
              <w:rPr>
                <w:rFonts w:ascii="Times New Roman" w:hAnsi="Times New Roman" w:cs="Times New Roman"/>
                <w:lang w:val="en-US"/>
              </w:rPr>
            </w:pPr>
            <w:r w:rsidRPr="00EB5E52">
              <w:rPr>
                <w:rFonts w:ascii="Times New Roman" w:hAnsi="Times New Roman" w:cs="Times New Roman"/>
                <w:lang w:val="en-US"/>
              </w:rPr>
              <w:t xml:space="preserve">The MARI AOF in accordance with the </w:t>
            </w:r>
            <w:proofErr w:type="spellStart"/>
            <w:r w:rsidRPr="00EB5E52">
              <w:rPr>
                <w:rFonts w:ascii="Times New Roman" w:hAnsi="Times New Roman" w:cs="Times New Roman"/>
                <w:lang w:val="en-US"/>
              </w:rPr>
              <w:t>mFRR</w:t>
            </w:r>
            <w:proofErr w:type="spellEnd"/>
            <w:r w:rsidRPr="00EB5E52">
              <w:rPr>
                <w:rFonts w:ascii="Times New Roman" w:hAnsi="Times New Roman" w:cs="Times New Roman"/>
                <w:lang w:val="en-US"/>
              </w:rPr>
              <w:t xml:space="preserve"> IF and the PICASSO AOF in accordance with the </w:t>
            </w:r>
            <w:proofErr w:type="spellStart"/>
            <w:r w:rsidRPr="00EB5E52">
              <w:rPr>
                <w:rFonts w:ascii="Times New Roman" w:hAnsi="Times New Roman" w:cs="Times New Roman"/>
                <w:lang w:val="en-US"/>
              </w:rPr>
              <w:t>aFRR</w:t>
            </w:r>
            <w:proofErr w:type="spellEnd"/>
            <w:r w:rsidRPr="00EB5E52">
              <w:rPr>
                <w:rFonts w:ascii="Times New Roman" w:hAnsi="Times New Roman" w:cs="Times New Roman"/>
                <w:lang w:val="en-US"/>
              </w:rPr>
              <w:t xml:space="preserve"> IF are used as input data for the cross-zonal capacity balancing period, as well as for the activation of balancing product bids within the framework of TSO cooperation in accordance with Clause 2.4 of these </w:t>
            </w:r>
            <w:r>
              <w:rPr>
                <w:rFonts w:ascii="Times New Roman" w:hAnsi="Times New Roman" w:cs="Times New Roman"/>
                <w:lang w:val="en-US"/>
              </w:rPr>
              <w:t>r</w:t>
            </w:r>
            <w:r w:rsidRPr="00EB5E52">
              <w:rPr>
                <w:rFonts w:ascii="Times New Roman" w:hAnsi="Times New Roman" w:cs="Times New Roman"/>
                <w:lang w:val="en-US"/>
              </w:rPr>
              <w:t>egulations.</w:t>
            </w:r>
          </w:p>
        </w:tc>
        <w:tc>
          <w:tcPr>
            <w:tcW w:w="3760" w:type="dxa"/>
          </w:tcPr>
          <w:p w14:paraId="49421499" w14:textId="32EC7CD9"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Starpzonu</w:t>
            </w:r>
            <w:proofErr w:type="spellEnd"/>
            <w:r w:rsidRPr="0030041C">
              <w:rPr>
                <w:rFonts w:ascii="Times New Roman" w:hAnsi="Times New Roman" w:cs="Times New Roman"/>
                <w:sz w:val="24"/>
                <w:szCs w:val="24"/>
              </w:rPr>
              <w:t xml:space="preserve"> jaudas balansēšanas laika posmam tiek izmantotas kā </w:t>
            </w:r>
            <w:proofErr w:type="spellStart"/>
            <w:r w:rsidRPr="0030041C">
              <w:rPr>
                <w:rFonts w:ascii="Times New Roman" w:hAnsi="Times New Roman" w:cs="Times New Roman"/>
                <w:sz w:val="24"/>
                <w:szCs w:val="24"/>
              </w:rPr>
              <w:t>ievaddati</w:t>
            </w:r>
            <w:proofErr w:type="spellEnd"/>
            <w:r w:rsidRPr="0030041C">
              <w:rPr>
                <w:rFonts w:ascii="Times New Roman" w:hAnsi="Times New Roman" w:cs="Times New Roman"/>
                <w:sz w:val="24"/>
                <w:szCs w:val="24"/>
              </w:rPr>
              <w:t xml:space="preserve"> MARI AOF saskaņā ar </w:t>
            </w: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IF un PICASSO AOF saskaņā ar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IF, kā arī regulēšanas produkta solījumu aktivizēšanai PSO sadarbības ietvarā saskaņā ar šo </w:t>
            </w:r>
            <w:r>
              <w:rPr>
                <w:rFonts w:ascii="Times New Roman" w:hAnsi="Times New Roman" w:cs="Times New Roman"/>
                <w:sz w:val="24"/>
                <w:szCs w:val="24"/>
              </w:rPr>
              <w:t>n</w:t>
            </w:r>
            <w:r w:rsidRPr="0030041C">
              <w:rPr>
                <w:rFonts w:ascii="Times New Roman" w:hAnsi="Times New Roman" w:cs="Times New Roman"/>
                <w:sz w:val="24"/>
                <w:szCs w:val="24"/>
              </w:rPr>
              <w:t>oteikumu 2.4. punktu.</w:t>
            </w:r>
          </w:p>
        </w:tc>
      </w:tr>
      <w:tr w:rsidR="00F527BD" w14:paraId="7A9A32B7" w14:textId="77777777" w:rsidTr="00F527BD">
        <w:tc>
          <w:tcPr>
            <w:tcW w:w="1276" w:type="dxa"/>
          </w:tcPr>
          <w:p w14:paraId="0D30BD25" w14:textId="77777777" w:rsidR="00422A2A" w:rsidRPr="00941DA8" w:rsidRDefault="00422A2A" w:rsidP="005A43AF">
            <w:pPr>
              <w:pStyle w:val="Caption"/>
              <w:numPr>
                <w:ilvl w:val="1"/>
                <w:numId w:val="47"/>
              </w:numPr>
              <w:spacing w:before="0"/>
              <w:rPr>
                <w:rFonts w:ascii="Times New Roman" w:hAnsi="Times New Roman" w:cs="Times New Roman"/>
                <w:lang w:val="en-US"/>
              </w:rPr>
            </w:pPr>
          </w:p>
        </w:tc>
        <w:tc>
          <w:tcPr>
            <w:tcW w:w="3890" w:type="dxa"/>
          </w:tcPr>
          <w:p w14:paraId="03D8C4FE" w14:textId="1F2FF0AC" w:rsidR="00422A2A" w:rsidRPr="00941DA8" w:rsidRDefault="00422A2A" w:rsidP="00013652">
            <w:pPr>
              <w:pStyle w:val="Caption"/>
              <w:spacing w:before="0"/>
              <w:rPr>
                <w:rFonts w:ascii="Times New Roman" w:hAnsi="Times New Roman" w:cs="Times New Roman"/>
                <w:lang w:val="en-US"/>
              </w:rPr>
            </w:pPr>
            <w:r w:rsidRPr="00941DA8">
              <w:rPr>
                <w:rFonts w:ascii="Times New Roman" w:hAnsi="Times New Roman" w:cs="Times New Roman"/>
                <w:lang w:val="en-US"/>
              </w:rPr>
              <w:t>The cross-zonal capacity for the balancing energy exchange resulting from MARI AOF</w:t>
            </w:r>
            <w:r>
              <w:rPr>
                <w:rFonts w:ascii="Times New Roman" w:hAnsi="Times New Roman" w:cs="Times New Roman"/>
                <w:lang w:val="en-US"/>
              </w:rPr>
              <w:t xml:space="preserve"> or </w:t>
            </w:r>
            <w:proofErr w:type="gramStart"/>
            <w:r>
              <w:rPr>
                <w:rFonts w:ascii="Times New Roman" w:hAnsi="Times New Roman" w:cs="Times New Roman"/>
                <w:lang w:val="en-US"/>
              </w:rPr>
              <w:t>PICASSO  AOF</w:t>
            </w:r>
            <w:proofErr w:type="gramEnd"/>
            <w:r w:rsidRPr="00941DA8">
              <w:rPr>
                <w:rFonts w:ascii="Times New Roman" w:hAnsi="Times New Roman" w:cs="Times New Roman"/>
                <w:lang w:val="en-US"/>
              </w:rPr>
              <w:t xml:space="preserve"> is priced as difference between the CBMP of the respective areas on the balancing borders in accordance with Methodology for pricing.</w:t>
            </w:r>
          </w:p>
          <w:p w14:paraId="7E6915A1" w14:textId="77777777" w:rsidR="00422A2A" w:rsidRPr="00941DA8" w:rsidRDefault="00422A2A" w:rsidP="005A43AF">
            <w:pPr>
              <w:pStyle w:val="Caption"/>
              <w:spacing w:before="0"/>
              <w:rPr>
                <w:rFonts w:ascii="Times New Roman" w:eastAsia="Times New Roman" w:hAnsi="Times New Roman" w:cs="Times New Roman"/>
                <w:b/>
                <w:bCs/>
                <w:lang w:val="en-US"/>
              </w:rPr>
            </w:pPr>
          </w:p>
        </w:tc>
        <w:tc>
          <w:tcPr>
            <w:tcW w:w="3760" w:type="dxa"/>
          </w:tcPr>
          <w:p w14:paraId="206FC30B" w14:textId="4A98FF25" w:rsidR="00422A2A" w:rsidRPr="00B3794F" w:rsidRDefault="00422A2A" w:rsidP="005A43AF">
            <w:pPr>
              <w:jc w:val="both"/>
              <w:rPr>
                <w:rFonts w:ascii="Times New Roman" w:hAnsi="Times New Roman" w:cs="Times New Roman"/>
                <w:sz w:val="24"/>
                <w:szCs w:val="24"/>
              </w:rPr>
            </w:pPr>
            <w:proofErr w:type="spellStart"/>
            <w:r w:rsidRPr="00B3794F">
              <w:rPr>
                <w:rFonts w:ascii="Times New Roman" w:hAnsi="Times New Roman" w:cs="Times New Roman"/>
                <w:sz w:val="24"/>
                <w:szCs w:val="24"/>
              </w:rPr>
              <w:t>Starpzonu</w:t>
            </w:r>
            <w:proofErr w:type="spellEnd"/>
            <w:r w:rsidRPr="00B3794F">
              <w:rPr>
                <w:rFonts w:ascii="Times New Roman" w:hAnsi="Times New Roman" w:cs="Times New Roman"/>
                <w:sz w:val="24"/>
                <w:szCs w:val="24"/>
              </w:rPr>
              <w:t xml:space="preserve"> jaudas cena regulēšanas enerģijas apmaiņai, kas izriet no MARI AOF</w:t>
            </w:r>
            <w:r>
              <w:rPr>
                <w:rFonts w:ascii="Times New Roman" w:hAnsi="Times New Roman" w:cs="Times New Roman"/>
                <w:sz w:val="24"/>
                <w:szCs w:val="24"/>
              </w:rPr>
              <w:t xml:space="preserve"> vai PICASSO AOF</w:t>
            </w:r>
            <w:r w:rsidRPr="00B3794F">
              <w:rPr>
                <w:rFonts w:ascii="Times New Roman" w:hAnsi="Times New Roman" w:cs="Times New Roman"/>
                <w:sz w:val="24"/>
                <w:szCs w:val="24"/>
              </w:rPr>
              <w:t>, tiek noteikta kā attiecīgo balansēšanas robežu zonu robežcenu CBMP starpība saskaņā ar cenu noteikšanas metodik</w:t>
            </w:r>
            <w:r>
              <w:rPr>
                <w:rFonts w:ascii="Times New Roman" w:hAnsi="Times New Roman" w:cs="Times New Roman"/>
                <w:sz w:val="24"/>
                <w:szCs w:val="24"/>
              </w:rPr>
              <w:t>u</w:t>
            </w:r>
          </w:p>
        </w:tc>
      </w:tr>
      <w:tr w:rsidR="00F527BD" w14:paraId="33BB1C0C" w14:textId="77777777" w:rsidTr="00F527BD">
        <w:tc>
          <w:tcPr>
            <w:tcW w:w="1276" w:type="dxa"/>
          </w:tcPr>
          <w:p w14:paraId="01788109" w14:textId="7BD65C91" w:rsidR="00422A2A" w:rsidRDefault="00422A2A" w:rsidP="00013652">
            <w:pPr>
              <w:pStyle w:val="Point0number"/>
              <w:numPr>
                <w:ilvl w:val="0"/>
                <w:numId w:val="47"/>
              </w:numPr>
              <w:tabs>
                <w:tab w:val="left" w:pos="720"/>
              </w:tabs>
              <w:spacing w:before="0" w:after="0"/>
              <w:jc w:val="center"/>
              <w:rPr>
                <w:rFonts w:eastAsia="Times New Roman"/>
                <w:b/>
                <w:bCs/>
                <w:szCs w:val="24"/>
                <w:lang w:val="en-US"/>
              </w:rPr>
            </w:pPr>
          </w:p>
        </w:tc>
        <w:tc>
          <w:tcPr>
            <w:tcW w:w="3890" w:type="dxa"/>
          </w:tcPr>
          <w:p w14:paraId="08989FC1" w14:textId="3C4A5EC7" w:rsidR="00422A2A" w:rsidRPr="00941DA8" w:rsidRDefault="00422A2A" w:rsidP="005A43AF">
            <w:pPr>
              <w:pStyle w:val="Point0number"/>
              <w:numPr>
                <w:ilvl w:val="0"/>
                <w:numId w:val="0"/>
              </w:numPr>
              <w:tabs>
                <w:tab w:val="left" w:pos="720"/>
              </w:tabs>
              <w:spacing w:before="0" w:after="0"/>
              <w:jc w:val="center"/>
              <w:rPr>
                <w:rFonts w:eastAsia="Times New Roman"/>
                <w:b/>
                <w:bCs/>
                <w:szCs w:val="24"/>
                <w:lang w:val="en-US"/>
              </w:rPr>
            </w:pPr>
            <w:r w:rsidRPr="00941DA8">
              <w:rPr>
                <w:rFonts w:eastAsia="Times New Roman"/>
                <w:b/>
                <w:bCs/>
                <w:szCs w:val="24"/>
                <w:lang w:val="en-US"/>
              </w:rPr>
              <w:t>Balancing price determination</w:t>
            </w:r>
          </w:p>
        </w:tc>
        <w:tc>
          <w:tcPr>
            <w:tcW w:w="3760" w:type="dxa"/>
          </w:tcPr>
          <w:p w14:paraId="62355999" w14:textId="717E16F7" w:rsidR="00422A2A" w:rsidRPr="00941DA8" w:rsidRDefault="00422A2A" w:rsidP="005A43AF">
            <w:pPr>
              <w:jc w:val="center"/>
              <w:rPr>
                <w:rFonts w:ascii="Times New Roman" w:hAnsi="Times New Roman" w:cs="Times New Roman"/>
                <w:b/>
                <w:bCs/>
                <w:sz w:val="24"/>
                <w:szCs w:val="24"/>
              </w:rPr>
            </w:pPr>
            <w:r w:rsidRPr="00941DA8">
              <w:rPr>
                <w:rFonts w:ascii="Times New Roman" w:hAnsi="Times New Roman" w:cs="Times New Roman"/>
                <w:b/>
                <w:bCs/>
                <w:sz w:val="24"/>
                <w:szCs w:val="24"/>
              </w:rPr>
              <w:t>Balansēšanas enerģijas cenas noteikšana</w:t>
            </w:r>
          </w:p>
        </w:tc>
      </w:tr>
      <w:tr w:rsidR="00F527BD" w14:paraId="738F98B1" w14:textId="77777777" w:rsidTr="00F527BD">
        <w:trPr>
          <w:trHeight w:val="1451"/>
        </w:trPr>
        <w:tc>
          <w:tcPr>
            <w:tcW w:w="1276" w:type="dxa"/>
          </w:tcPr>
          <w:p w14:paraId="640868FF" w14:textId="77777777" w:rsidR="00422A2A" w:rsidRPr="0030041C" w:rsidRDefault="00422A2A" w:rsidP="005A43AF">
            <w:pPr>
              <w:pStyle w:val="Caption"/>
              <w:numPr>
                <w:ilvl w:val="1"/>
                <w:numId w:val="48"/>
              </w:numPr>
              <w:spacing w:before="0"/>
              <w:rPr>
                <w:rFonts w:ascii="Times New Roman" w:hAnsi="Times New Roman" w:cs="Times New Roman"/>
                <w:lang w:val="en-US"/>
              </w:rPr>
            </w:pPr>
          </w:p>
        </w:tc>
        <w:tc>
          <w:tcPr>
            <w:tcW w:w="3890" w:type="dxa"/>
          </w:tcPr>
          <w:p w14:paraId="153DC4A1" w14:textId="06FAF151" w:rsidR="00422A2A" w:rsidRPr="0030041C" w:rsidRDefault="00422A2A" w:rsidP="00013652">
            <w:pPr>
              <w:pStyle w:val="Caption"/>
              <w:spacing w:before="0"/>
              <w:rPr>
                <w:rFonts w:ascii="Times New Roman" w:hAnsi="Times New Roman" w:cs="Times New Roman"/>
                <w:lang w:val="en-US"/>
              </w:rPr>
            </w:pPr>
            <w:r w:rsidRPr="0030041C">
              <w:rPr>
                <w:rFonts w:ascii="Times New Roman" w:hAnsi="Times New Roman" w:cs="Times New Roman"/>
                <w:lang w:val="en-US"/>
              </w:rPr>
              <w:t xml:space="preserve">CBMP is used for balancing energy bids activated </w:t>
            </w:r>
            <w:r w:rsidRPr="00BB29DE">
              <w:rPr>
                <w:rFonts w:ascii="Times New Roman" w:hAnsi="Times New Roman" w:cs="Times New Roman"/>
                <w:lang w:val="en-US"/>
              </w:rPr>
              <w:t xml:space="preserve">as a result of AOF </w:t>
            </w:r>
            <w:proofErr w:type="gramStart"/>
            <w:r w:rsidRPr="00BB29DE">
              <w:rPr>
                <w:rFonts w:ascii="Times New Roman" w:hAnsi="Times New Roman" w:cs="Times New Roman"/>
                <w:lang w:val="en-US"/>
              </w:rPr>
              <w:t>of  MARI</w:t>
            </w:r>
            <w:proofErr w:type="gramEnd"/>
            <w:r w:rsidRPr="00BB29DE">
              <w:rPr>
                <w:rFonts w:ascii="Times New Roman" w:hAnsi="Times New Roman" w:cs="Times New Roman"/>
                <w:lang w:val="en-US"/>
              </w:rPr>
              <w:t xml:space="preserve"> as defined in the </w:t>
            </w:r>
            <w:proofErr w:type="spellStart"/>
            <w:r w:rsidRPr="00BB29DE">
              <w:rPr>
                <w:rFonts w:ascii="Times New Roman" w:hAnsi="Times New Roman" w:cs="Times New Roman"/>
                <w:lang w:val="en-US"/>
              </w:rPr>
              <w:t>mFRR</w:t>
            </w:r>
            <w:proofErr w:type="spellEnd"/>
            <w:r w:rsidRPr="00BB29DE">
              <w:rPr>
                <w:rFonts w:ascii="Times New Roman" w:hAnsi="Times New Roman" w:cs="Times New Roman"/>
                <w:lang w:val="en-US"/>
              </w:rPr>
              <w:t xml:space="preserve"> IF</w:t>
            </w:r>
            <w:r>
              <w:rPr>
                <w:rFonts w:ascii="Times New Roman" w:hAnsi="Times New Roman" w:cs="Times New Roman"/>
                <w:lang w:val="en-US"/>
              </w:rPr>
              <w:t xml:space="preserve"> and determination of balancing energy price</w:t>
            </w:r>
            <w:r w:rsidRPr="00BB29DE">
              <w:rPr>
                <w:rFonts w:ascii="Times New Roman" w:hAnsi="Times New Roman" w:cs="Times New Roman"/>
                <w:lang w:val="en-US"/>
              </w:rPr>
              <w:t>. CBMP is</w:t>
            </w:r>
            <w:r w:rsidRPr="0030041C">
              <w:rPr>
                <w:rFonts w:ascii="Times New Roman" w:hAnsi="Times New Roman" w:cs="Times New Roman"/>
                <w:lang w:val="en-US"/>
              </w:rPr>
              <w:t xml:space="preserve"> determined by the MARI, according to Methodology for pricing, considering mentioned:</w:t>
            </w:r>
          </w:p>
          <w:p w14:paraId="2C2FCD8E" w14:textId="129652A6" w:rsidR="00422A2A" w:rsidRPr="00BB29DE" w:rsidRDefault="00422A2A" w:rsidP="005A43AF">
            <w:pPr>
              <w:pStyle w:val="Caption"/>
              <w:spacing w:before="0"/>
              <w:rPr>
                <w:rFonts w:eastAsia="Times New Roman"/>
                <w:b/>
                <w:bCs/>
                <w:lang w:val="en-US"/>
              </w:rPr>
            </w:pPr>
          </w:p>
        </w:tc>
        <w:tc>
          <w:tcPr>
            <w:tcW w:w="3760" w:type="dxa"/>
          </w:tcPr>
          <w:p w14:paraId="40ED8838" w14:textId="5B1842BD" w:rsidR="00422A2A" w:rsidRPr="00BB29DE" w:rsidRDefault="00422A2A" w:rsidP="005A43AF">
            <w:pPr>
              <w:jc w:val="both"/>
              <w:rPr>
                <w:rFonts w:ascii="Times New Roman" w:hAnsi="Times New Roman" w:cs="Times New Roman"/>
                <w:b/>
                <w:bCs/>
                <w:sz w:val="24"/>
                <w:szCs w:val="24"/>
              </w:rPr>
            </w:pPr>
            <w:proofErr w:type="spellStart"/>
            <w:r w:rsidRPr="00BB29DE">
              <w:rPr>
                <w:rFonts w:ascii="Times New Roman" w:hAnsi="Times New Roman" w:cs="Times New Roman"/>
                <w:sz w:val="24"/>
                <w:szCs w:val="24"/>
              </w:rPr>
              <w:t>mFRR</w:t>
            </w:r>
            <w:proofErr w:type="spellEnd"/>
            <w:r w:rsidRPr="00BB29DE">
              <w:rPr>
                <w:rFonts w:ascii="Times New Roman" w:hAnsi="Times New Roman" w:cs="Times New Roman"/>
                <w:sz w:val="24"/>
                <w:szCs w:val="24"/>
              </w:rPr>
              <w:t xml:space="preserve"> regulēšanas produkta solījumiem, kas aktivizēti MARI AOF rezultātā, </w:t>
            </w:r>
            <w:r>
              <w:rPr>
                <w:rFonts w:ascii="Times New Roman" w:hAnsi="Times New Roman" w:cs="Times New Roman"/>
                <w:sz w:val="24"/>
                <w:szCs w:val="24"/>
              </w:rPr>
              <w:t xml:space="preserve">balansēšanas enerģijas cenas noteikšanai </w:t>
            </w:r>
            <w:r w:rsidRPr="00BB29DE">
              <w:rPr>
                <w:rFonts w:ascii="Times New Roman" w:hAnsi="Times New Roman" w:cs="Times New Roman"/>
                <w:sz w:val="24"/>
                <w:szCs w:val="24"/>
              </w:rPr>
              <w:t xml:space="preserve">izmanto CBMP - kā noteikts </w:t>
            </w:r>
            <w:proofErr w:type="spellStart"/>
            <w:r w:rsidRPr="00BB29DE">
              <w:rPr>
                <w:rFonts w:ascii="Times New Roman" w:hAnsi="Times New Roman" w:cs="Times New Roman"/>
                <w:sz w:val="24"/>
                <w:szCs w:val="24"/>
              </w:rPr>
              <w:t>mFRR</w:t>
            </w:r>
            <w:proofErr w:type="spellEnd"/>
            <w:r w:rsidRPr="00BB29DE">
              <w:rPr>
                <w:rFonts w:ascii="Times New Roman" w:hAnsi="Times New Roman" w:cs="Times New Roman"/>
                <w:sz w:val="24"/>
                <w:szCs w:val="24"/>
              </w:rPr>
              <w:t xml:space="preserve"> IF. CBMP nosaka MARI saskaņā ar cenu noteikšanas metodiku, ievērojot sekojošo:</w:t>
            </w:r>
          </w:p>
        </w:tc>
      </w:tr>
      <w:tr w:rsidR="00F527BD" w14:paraId="24B70C37" w14:textId="77777777" w:rsidTr="00F527BD">
        <w:trPr>
          <w:trHeight w:val="1451"/>
        </w:trPr>
        <w:tc>
          <w:tcPr>
            <w:tcW w:w="1276" w:type="dxa"/>
          </w:tcPr>
          <w:p w14:paraId="6AF2E4EB" w14:textId="77777777" w:rsidR="00422A2A" w:rsidRPr="0030041C" w:rsidRDefault="00422A2A" w:rsidP="005A43AF">
            <w:pPr>
              <w:pStyle w:val="Caption"/>
              <w:numPr>
                <w:ilvl w:val="1"/>
                <w:numId w:val="48"/>
              </w:numPr>
              <w:spacing w:before="0"/>
              <w:rPr>
                <w:rFonts w:ascii="Times New Roman" w:hAnsi="Times New Roman" w:cs="Times New Roman"/>
                <w:lang w:val="en-US"/>
              </w:rPr>
            </w:pPr>
          </w:p>
        </w:tc>
        <w:tc>
          <w:tcPr>
            <w:tcW w:w="3890" w:type="dxa"/>
          </w:tcPr>
          <w:p w14:paraId="05ACBEE2" w14:textId="31B0E94C" w:rsidR="00422A2A" w:rsidRPr="0030041C" w:rsidRDefault="00422A2A" w:rsidP="00013652">
            <w:pPr>
              <w:pStyle w:val="Caption"/>
              <w:spacing w:before="0"/>
              <w:rPr>
                <w:rFonts w:ascii="Times New Roman" w:hAnsi="Times New Roman" w:cs="Times New Roman"/>
                <w:lang w:val="en-US"/>
              </w:rPr>
            </w:pPr>
            <w:r w:rsidRPr="0030041C">
              <w:rPr>
                <w:rFonts w:ascii="Times New Roman" w:hAnsi="Times New Roman" w:cs="Times New Roman"/>
                <w:lang w:val="en-US"/>
              </w:rPr>
              <w:t>Separate CBMP for each activation type (direct (DA) and scheduled (SA)) is determined;</w:t>
            </w:r>
          </w:p>
        </w:tc>
        <w:tc>
          <w:tcPr>
            <w:tcW w:w="3760" w:type="dxa"/>
          </w:tcPr>
          <w:p w14:paraId="1A6EB517" w14:textId="4594A80E" w:rsidR="00422A2A" w:rsidRPr="00BB29DE" w:rsidRDefault="00422A2A" w:rsidP="005A43AF">
            <w:pPr>
              <w:jc w:val="both"/>
              <w:rPr>
                <w:rFonts w:ascii="Times New Roman" w:hAnsi="Times New Roman" w:cs="Times New Roman"/>
                <w:sz w:val="24"/>
                <w:szCs w:val="24"/>
              </w:rPr>
            </w:pPr>
            <w:r w:rsidRPr="00BB29DE">
              <w:rPr>
                <w:rFonts w:ascii="Times New Roman" w:hAnsi="Times New Roman" w:cs="Times New Roman"/>
                <w:sz w:val="24"/>
                <w:szCs w:val="24"/>
              </w:rPr>
              <w:t>Katram aktivizācijas veidam (tiešajam (DA) vai plānotajam (SA)) tiek noteikta atsevišķa CBMP;</w:t>
            </w:r>
          </w:p>
          <w:p w14:paraId="4F239FD2" w14:textId="1366A49E" w:rsidR="00422A2A" w:rsidRPr="00BB29DE" w:rsidRDefault="00422A2A" w:rsidP="005A43AF">
            <w:pPr>
              <w:ind w:left="428" w:hanging="428"/>
              <w:jc w:val="both"/>
              <w:rPr>
                <w:rFonts w:ascii="Times New Roman" w:hAnsi="Times New Roman" w:cs="Times New Roman"/>
                <w:sz w:val="24"/>
                <w:szCs w:val="24"/>
              </w:rPr>
            </w:pPr>
          </w:p>
        </w:tc>
      </w:tr>
      <w:tr w:rsidR="00F527BD" w14:paraId="03FC251F" w14:textId="77777777" w:rsidTr="00F527BD">
        <w:trPr>
          <w:trHeight w:val="1451"/>
        </w:trPr>
        <w:tc>
          <w:tcPr>
            <w:tcW w:w="1276" w:type="dxa"/>
          </w:tcPr>
          <w:p w14:paraId="0997E6A3" w14:textId="77777777" w:rsidR="00422A2A" w:rsidRPr="0030041C" w:rsidRDefault="00422A2A" w:rsidP="005A43AF">
            <w:pPr>
              <w:pStyle w:val="Caption"/>
              <w:numPr>
                <w:ilvl w:val="1"/>
                <w:numId w:val="48"/>
              </w:numPr>
              <w:spacing w:before="0"/>
              <w:rPr>
                <w:rFonts w:ascii="Times New Roman" w:hAnsi="Times New Roman" w:cs="Times New Roman"/>
                <w:lang w:val="en-US"/>
              </w:rPr>
            </w:pPr>
          </w:p>
        </w:tc>
        <w:tc>
          <w:tcPr>
            <w:tcW w:w="3890" w:type="dxa"/>
          </w:tcPr>
          <w:p w14:paraId="01825EFA" w14:textId="0345032F" w:rsidR="00422A2A" w:rsidRPr="0030041C" w:rsidRDefault="00422A2A" w:rsidP="00013652">
            <w:pPr>
              <w:pStyle w:val="Caption"/>
              <w:spacing w:before="0"/>
              <w:rPr>
                <w:rFonts w:ascii="Times New Roman" w:hAnsi="Times New Roman" w:cs="Times New Roman"/>
                <w:lang w:val="en-US"/>
              </w:rPr>
            </w:pPr>
            <w:r w:rsidRPr="0030041C">
              <w:rPr>
                <w:rFonts w:ascii="Times New Roman" w:hAnsi="Times New Roman" w:cs="Times New Roman"/>
                <w:lang w:val="en-US"/>
              </w:rPr>
              <w:t>Separate CBMP for each activation direction upward and downward is determined. For SA price for upward and downward activation is the same.</w:t>
            </w:r>
          </w:p>
          <w:p w14:paraId="1D5C540D" w14:textId="77777777" w:rsidR="00422A2A" w:rsidRPr="00BB29DE" w:rsidRDefault="00422A2A" w:rsidP="005A43AF">
            <w:pPr>
              <w:pStyle w:val="Caption"/>
              <w:spacing w:before="0"/>
              <w:ind w:left="457" w:hanging="457"/>
              <w:rPr>
                <w:rFonts w:ascii="Times New Roman" w:eastAsia="Times New Roman" w:hAnsi="Times New Roman" w:cs="Times New Roman"/>
                <w:lang w:val="en-US"/>
              </w:rPr>
            </w:pPr>
          </w:p>
        </w:tc>
        <w:tc>
          <w:tcPr>
            <w:tcW w:w="3760" w:type="dxa"/>
          </w:tcPr>
          <w:p w14:paraId="63C5FE8A" w14:textId="29516001" w:rsidR="00422A2A" w:rsidRPr="00BB29DE" w:rsidRDefault="00422A2A" w:rsidP="005A43AF">
            <w:pPr>
              <w:ind w:left="3"/>
              <w:jc w:val="both"/>
              <w:rPr>
                <w:rFonts w:ascii="Times New Roman" w:hAnsi="Times New Roman" w:cs="Times New Roman"/>
                <w:sz w:val="24"/>
                <w:szCs w:val="24"/>
              </w:rPr>
            </w:pPr>
            <w:r w:rsidRPr="00BB29DE">
              <w:rPr>
                <w:rFonts w:ascii="Times New Roman" w:hAnsi="Times New Roman" w:cs="Times New Roman"/>
                <w:sz w:val="24"/>
                <w:szCs w:val="24"/>
              </w:rPr>
              <w:t>Katram aktivizēšanas virzienam uz augšu un uz leju tiek noteikts atsevišķs CBMP. SA veidam CBMP cena aktivizēšanai uz augšu un uz leju ir vienāda.</w:t>
            </w:r>
          </w:p>
          <w:p w14:paraId="7A1147CB" w14:textId="25B0B397" w:rsidR="00422A2A" w:rsidRPr="00BB29DE" w:rsidRDefault="00422A2A" w:rsidP="005A43AF">
            <w:pPr>
              <w:ind w:left="428" w:hanging="428"/>
              <w:jc w:val="both"/>
              <w:rPr>
                <w:rFonts w:ascii="Times New Roman" w:hAnsi="Times New Roman" w:cs="Times New Roman"/>
                <w:sz w:val="24"/>
                <w:szCs w:val="24"/>
              </w:rPr>
            </w:pPr>
          </w:p>
        </w:tc>
      </w:tr>
      <w:tr w:rsidR="00F527BD" w14:paraId="00A4FFFC" w14:textId="77777777" w:rsidTr="00F527BD">
        <w:trPr>
          <w:trHeight w:val="1451"/>
        </w:trPr>
        <w:tc>
          <w:tcPr>
            <w:tcW w:w="1276" w:type="dxa"/>
          </w:tcPr>
          <w:p w14:paraId="429DB7A5" w14:textId="77777777" w:rsidR="00422A2A" w:rsidRPr="0030041C" w:rsidRDefault="00422A2A" w:rsidP="005A43AF">
            <w:pPr>
              <w:pStyle w:val="Caption"/>
              <w:numPr>
                <w:ilvl w:val="1"/>
                <w:numId w:val="48"/>
              </w:numPr>
              <w:spacing w:before="0"/>
              <w:rPr>
                <w:rFonts w:ascii="Times New Roman" w:hAnsi="Times New Roman" w:cs="Times New Roman"/>
                <w:lang w:val="en-US"/>
              </w:rPr>
            </w:pPr>
          </w:p>
        </w:tc>
        <w:tc>
          <w:tcPr>
            <w:tcW w:w="3890" w:type="dxa"/>
          </w:tcPr>
          <w:p w14:paraId="7B28B8CD" w14:textId="2377B66A" w:rsidR="00422A2A" w:rsidRPr="0030041C" w:rsidRDefault="00422A2A" w:rsidP="00013652">
            <w:pPr>
              <w:pStyle w:val="Caption"/>
              <w:spacing w:before="0"/>
              <w:rPr>
                <w:rFonts w:ascii="Times New Roman" w:hAnsi="Times New Roman" w:cs="Times New Roman"/>
                <w:lang w:val="en-US"/>
              </w:rPr>
            </w:pPr>
            <w:r w:rsidRPr="0030041C">
              <w:rPr>
                <w:rFonts w:ascii="Times New Roman" w:hAnsi="Times New Roman" w:cs="Times New Roman"/>
                <w:lang w:val="en-US"/>
              </w:rPr>
              <w:t>CBMP is calculated for each MTU separately.</w:t>
            </w:r>
          </w:p>
        </w:tc>
        <w:tc>
          <w:tcPr>
            <w:tcW w:w="3760" w:type="dxa"/>
          </w:tcPr>
          <w:p w14:paraId="6446868F" w14:textId="1C631B39" w:rsidR="00422A2A" w:rsidRPr="00BB29DE" w:rsidRDefault="00422A2A" w:rsidP="005A43AF">
            <w:pPr>
              <w:jc w:val="both"/>
              <w:rPr>
                <w:rFonts w:ascii="Times New Roman" w:hAnsi="Times New Roman" w:cs="Times New Roman"/>
                <w:sz w:val="24"/>
                <w:szCs w:val="24"/>
              </w:rPr>
            </w:pPr>
            <w:r w:rsidRPr="00BB29DE">
              <w:rPr>
                <w:rFonts w:ascii="Times New Roman" w:hAnsi="Times New Roman" w:cs="Times New Roman"/>
                <w:sz w:val="24"/>
                <w:szCs w:val="24"/>
              </w:rPr>
              <w:t xml:space="preserve">CBMP tiek aprēķināts katram </w:t>
            </w:r>
            <w:proofErr w:type="spellStart"/>
            <w:r>
              <w:rPr>
                <w:rFonts w:ascii="Times New Roman" w:hAnsi="Times New Roman" w:cs="Times New Roman"/>
                <w:sz w:val="24"/>
                <w:szCs w:val="24"/>
              </w:rPr>
              <w:t>mFRR</w:t>
            </w:r>
            <w:proofErr w:type="spellEnd"/>
            <w:r>
              <w:rPr>
                <w:rFonts w:ascii="Times New Roman" w:hAnsi="Times New Roman" w:cs="Times New Roman"/>
                <w:sz w:val="24"/>
                <w:szCs w:val="24"/>
              </w:rPr>
              <w:t xml:space="preserve"> </w:t>
            </w:r>
            <w:r w:rsidRPr="00BB29DE">
              <w:rPr>
                <w:rFonts w:ascii="Times New Roman" w:hAnsi="Times New Roman" w:cs="Times New Roman"/>
                <w:sz w:val="24"/>
                <w:szCs w:val="24"/>
              </w:rPr>
              <w:t>MTU atsevišķi.</w:t>
            </w:r>
          </w:p>
        </w:tc>
      </w:tr>
      <w:tr w:rsidR="00F527BD" w14:paraId="238B82D7" w14:textId="77777777" w:rsidTr="00F527BD">
        <w:tc>
          <w:tcPr>
            <w:tcW w:w="1276" w:type="dxa"/>
          </w:tcPr>
          <w:p w14:paraId="543DBD16" w14:textId="77777777" w:rsidR="00422A2A" w:rsidRPr="00B206C8" w:rsidRDefault="00422A2A" w:rsidP="005A43AF">
            <w:pPr>
              <w:pStyle w:val="Bullet01"/>
              <w:numPr>
                <w:ilvl w:val="1"/>
                <w:numId w:val="48"/>
              </w:numPr>
              <w:spacing w:before="0" w:beforeAutospacing="0" w:line="240" w:lineRule="auto"/>
              <w:rPr>
                <w:lang w:val="en-US"/>
              </w:rPr>
            </w:pPr>
          </w:p>
        </w:tc>
        <w:tc>
          <w:tcPr>
            <w:tcW w:w="3890" w:type="dxa"/>
          </w:tcPr>
          <w:p w14:paraId="4C495A83" w14:textId="379B19E8" w:rsidR="00422A2A" w:rsidRPr="00B206C8" w:rsidRDefault="00422A2A" w:rsidP="00013652">
            <w:pPr>
              <w:pStyle w:val="Bullet01"/>
              <w:numPr>
                <w:ilvl w:val="0"/>
                <w:numId w:val="0"/>
              </w:numPr>
              <w:spacing w:before="0" w:beforeAutospacing="0" w:line="240" w:lineRule="auto"/>
              <w:rPr>
                <w:lang w:val="en-US"/>
              </w:rPr>
            </w:pPr>
            <w:r w:rsidRPr="00B206C8">
              <w:rPr>
                <w:lang w:val="en-US"/>
              </w:rPr>
              <w:t xml:space="preserve">CBMP for energy delivered within the respective MTU in result of bid activation via normal activation with DA </w:t>
            </w:r>
            <w:proofErr w:type="gramStart"/>
            <w:r w:rsidRPr="00B206C8">
              <w:rPr>
                <w:lang w:val="en-US"/>
              </w:rPr>
              <w:t>type  is</w:t>
            </w:r>
            <w:proofErr w:type="gramEnd"/>
            <w:r w:rsidRPr="00B206C8">
              <w:rPr>
                <w:lang w:val="en-US"/>
              </w:rPr>
              <w:t xml:space="preserve"> determined </w:t>
            </w:r>
            <w:proofErr w:type="spellStart"/>
            <w:r w:rsidRPr="00B206C8">
              <w:rPr>
                <w:lang w:val="en-US"/>
              </w:rPr>
              <w:t>seperately</w:t>
            </w:r>
            <w:proofErr w:type="spellEnd"/>
            <w:r w:rsidRPr="00B206C8">
              <w:rPr>
                <w:lang w:val="en-US"/>
              </w:rPr>
              <w:t xml:space="preserve"> from the CBMP for energy delivered in result of the same activation in the subsequent MTU.</w:t>
            </w:r>
          </w:p>
          <w:p w14:paraId="555E76DE" w14:textId="77777777" w:rsidR="00422A2A" w:rsidRPr="00BB29DE" w:rsidRDefault="00422A2A" w:rsidP="005A43AF">
            <w:pPr>
              <w:pStyle w:val="Caption"/>
              <w:spacing w:before="0"/>
              <w:ind w:left="457" w:hanging="425"/>
              <w:rPr>
                <w:rFonts w:ascii="Times New Roman" w:eastAsia="Times New Roman" w:hAnsi="Times New Roman" w:cs="Times New Roman"/>
                <w:lang w:val="en-US"/>
              </w:rPr>
            </w:pPr>
          </w:p>
        </w:tc>
        <w:tc>
          <w:tcPr>
            <w:tcW w:w="3760" w:type="dxa"/>
          </w:tcPr>
          <w:p w14:paraId="24030961" w14:textId="2073B711" w:rsidR="00422A2A" w:rsidRPr="00BB29DE" w:rsidRDefault="00422A2A" w:rsidP="005A43AF">
            <w:pPr>
              <w:jc w:val="both"/>
              <w:rPr>
                <w:rFonts w:ascii="Times New Roman" w:hAnsi="Times New Roman" w:cs="Times New Roman"/>
                <w:sz w:val="24"/>
                <w:szCs w:val="24"/>
              </w:rPr>
            </w:pPr>
            <w:r w:rsidRPr="00B206C8">
              <w:rPr>
                <w:rFonts w:ascii="Times New Roman" w:hAnsi="Times New Roman" w:cs="Times New Roman"/>
                <w:sz w:val="24"/>
                <w:szCs w:val="24"/>
              </w:rPr>
              <w:t xml:space="preserve">CBMP par enerģiju, kas piegādāta attiecīgajā MTU ietvaros standarta </w:t>
            </w:r>
            <w:proofErr w:type="spellStart"/>
            <w:r w:rsidRPr="00B206C8">
              <w:rPr>
                <w:rFonts w:ascii="Times New Roman" w:hAnsi="Times New Roman" w:cs="Times New Roman"/>
                <w:sz w:val="24"/>
                <w:szCs w:val="24"/>
              </w:rPr>
              <w:t>mFRR</w:t>
            </w:r>
            <w:proofErr w:type="spellEnd"/>
            <w:r w:rsidRPr="00B206C8">
              <w:rPr>
                <w:rFonts w:ascii="Times New Roman" w:hAnsi="Times New Roman" w:cs="Times New Roman"/>
                <w:sz w:val="24"/>
                <w:szCs w:val="24"/>
              </w:rPr>
              <w:t xml:space="preserve"> produkta solījumu DA tipa normālās aktivizācijas rezultātā, tiek noteikta atsevišķi no CBMP enerģija</w:t>
            </w:r>
            <w:r>
              <w:rPr>
                <w:rFonts w:ascii="Times New Roman" w:hAnsi="Times New Roman" w:cs="Times New Roman"/>
                <w:sz w:val="24"/>
                <w:szCs w:val="24"/>
              </w:rPr>
              <w:t>s</w:t>
            </w:r>
            <w:r w:rsidRPr="00B206C8">
              <w:rPr>
                <w:rFonts w:ascii="Times New Roman" w:hAnsi="Times New Roman" w:cs="Times New Roman"/>
                <w:sz w:val="24"/>
                <w:szCs w:val="24"/>
              </w:rPr>
              <w:t>, kas piegādāta tādas pašas aktivizācijas rezultātā nākamajā MTU</w:t>
            </w:r>
            <w:r w:rsidRPr="00B206C8">
              <w:rPr>
                <w:rFonts w:ascii="Times New Roman" w:hAnsi="Times New Roman" w:cs="Times New Roman"/>
                <w:b/>
                <w:bCs/>
                <w:sz w:val="24"/>
                <w:szCs w:val="24"/>
              </w:rPr>
              <w:t>.</w:t>
            </w:r>
          </w:p>
        </w:tc>
      </w:tr>
      <w:tr w:rsidR="00F527BD" w14:paraId="6A80C543" w14:textId="77777777" w:rsidTr="00F527BD">
        <w:trPr>
          <w:trHeight w:val="1069"/>
        </w:trPr>
        <w:tc>
          <w:tcPr>
            <w:tcW w:w="1276" w:type="dxa"/>
          </w:tcPr>
          <w:p w14:paraId="113A16AD" w14:textId="77777777" w:rsidR="00422A2A" w:rsidRPr="00013652" w:rsidRDefault="00422A2A" w:rsidP="00013652">
            <w:pPr>
              <w:pStyle w:val="Bullet01"/>
              <w:numPr>
                <w:ilvl w:val="1"/>
                <w:numId w:val="48"/>
              </w:numPr>
              <w:spacing w:before="0" w:beforeAutospacing="0" w:line="240" w:lineRule="auto"/>
              <w:rPr>
                <w:lang w:val="en-US"/>
              </w:rPr>
            </w:pPr>
          </w:p>
        </w:tc>
        <w:tc>
          <w:tcPr>
            <w:tcW w:w="3890" w:type="dxa"/>
          </w:tcPr>
          <w:p w14:paraId="10361D0C" w14:textId="70F97C43" w:rsidR="00422A2A" w:rsidRPr="005237AF" w:rsidRDefault="00422A2A" w:rsidP="00013652">
            <w:pPr>
              <w:pStyle w:val="Caption"/>
              <w:spacing w:before="0"/>
              <w:ind w:left="32"/>
              <w:rPr>
                <w:rFonts w:ascii="Times New Roman" w:eastAsia="Times New Roman" w:hAnsi="Times New Roman" w:cs="Times New Roman"/>
                <w:lang w:val="lv-LV"/>
              </w:rPr>
            </w:pPr>
            <w:proofErr w:type="spellStart"/>
            <w:r w:rsidRPr="0012070C">
              <w:rPr>
                <w:rFonts w:ascii="Times New Roman" w:eastAsia="Times New Roman" w:hAnsi="Times New Roman" w:cs="Times New Roman"/>
                <w:lang w:val="lv-LV"/>
              </w:rPr>
              <w:t>The</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aFRR</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regulation</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product</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bids</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activated</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in</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the</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control</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area</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are</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used</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by</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the</w:t>
            </w:r>
            <w:proofErr w:type="spellEnd"/>
            <w:r w:rsidRPr="0012070C">
              <w:rPr>
                <w:rFonts w:ascii="Times New Roman" w:eastAsia="Times New Roman" w:hAnsi="Times New Roman" w:cs="Times New Roman"/>
                <w:lang w:val="lv-LV"/>
              </w:rPr>
              <w:t xml:space="preserve"> MP to </w:t>
            </w:r>
            <w:proofErr w:type="spellStart"/>
            <w:r w:rsidRPr="0012070C">
              <w:rPr>
                <w:rFonts w:ascii="Times New Roman" w:eastAsia="Times New Roman" w:hAnsi="Times New Roman" w:cs="Times New Roman"/>
                <w:lang w:val="lv-LV"/>
              </w:rPr>
              <w:t>determine</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the</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balancing</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energy</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price</w:t>
            </w:r>
            <w:proofErr w:type="spellEnd"/>
            <w:r w:rsidRPr="0012070C">
              <w:rPr>
                <w:rFonts w:ascii="Times New Roman" w:eastAsia="Times New Roman" w:hAnsi="Times New Roman" w:cs="Times New Roman"/>
                <w:lang w:val="lv-LV"/>
              </w:rPr>
              <w:t xml:space="preserve">. MP </w:t>
            </w:r>
            <w:proofErr w:type="spellStart"/>
            <w:r w:rsidRPr="0012070C">
              <w:rPr>
                <w:rFonts w:ascii="Times New Roman" w:eastAsia="Times New Roman" w:hAnsi="Times New Roman" w:cs="Times New Roman"/>
                <w:lang w:val="lv-LV"/>
              </w:rPr>
              <w:t>is</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determined</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according</w:t>
            </w:r>
            <w:proofErr w:type="spellEnd"/>
            <w:r w:rsidRPr="0012070C">
              <w:rPr>
                <w:rFonts w:ascii="Times New Roman" w:eastAsia="Times New Roman" w:hAnsi="Times New Roman" w:cs="Times New Roman"/>
                <w:lang w:val="lv-LV"/>
              </w:rPr>
              <w:t xml:space="preserve"> to </w:t>
            </w:r>
            <w:proofErr w:type="spellStart"/>
            <w:r w:rsidRPr="0012070C">
              <w:rPr>
                <w:rFonts w:ascii="Times New Roman" w:eastAsia="Times New Roman" w:hAnsi="Times New Roman" w:cs="Times New Roman"/>
                <w:lang w:val="lv-LV"/>
              </w:rPr>
              <w:t>the</w:t>
            </w:r>
            <w:proofErr w:type="spellEnd"/>
            <w:r w:rsidRPr="0012070C">
              <w:rPr>
                <w:rFonts w:ascii="Times New Roman" w:eastAsia="Times New Roman" w:hAnsi="Times New Roman" w:cs="Times New Roman"/>
                <w:lang w:val="lv-LV"/>
              </w:rPr>
              <w:t xml:space="preserve"> </w:t>
            </w:r>
            <w:proofErr w:type="spellStart"/>
            <w:r w:rsidRPr="0012070C">
              <w:rPr>
                <w:rFonts w:ascii="Times New Roman" w:eastAsia="Times New Roman" w:hAnsi="Times New Roman" w:cs="Times New Roman"/>
                <w:lang w:val="lv-LV"/>
              </w:rPr>
              <w:t>following</w:t>
            </w:r>
            <w:proofErr w:type="spellEnd"/>
            <w:r w:rsidRPr="0012070C">
              <w:rPr>
                <w:rFonts w:ascii="Times New Roman" w:eastAsia="Times New Roman" w:hAnsi="Times New Roman" w:cs="Times New Roman"/>
                <w:lang w:val="lv-LV"/>
              </w:rPr>
              <w:t>:</w:t>
            </w:r>
          </w:p>
        </w:tc>
        <w:tc>
          <w:tcPr>
            <w:tcW w:w="3760" w:type="dxa"/>
          </w:tcPr>
          <w:p w14:paraId="07051EF1" w14:textId="77881210" w:rsidR="00422A2A" w:rsidRDefault="00422A2A" w:rsidP="005A43AF">
            <w:pPr>
              <w:jc w:val="both"/>
              <w:rPr>
                <w:rFonts w:ascii="Times New Roman" w:hAnsi="Times New Roman" w:cs="Times New Roman"/>
                <w:sz w:val="24"/>
                <w:szCs w:val="24"/>
              </w:rPr>
            </w:pP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regulēšanas produkta solījumu, kas aktivizēti kontroles zonā, balansēšanas enerģijas cenas noteikšanai izmanto MP. MP nosaka, ievērojot sekojošo:</w:t>
            </w:r>
          </w:p>
        </w:tc>
      </w:tr>
      <w:tr w:rsidR="00F527BD" w14:paraId="07FB1699" w14:textId="77777777" w:rsidTr="00F527BD">
        <w:trPr>
          <w:trHeight w:val="1069"/>
        </w:trPr>
        <w:tc>
          <w:tcPr>
            <w:tcW w:w="1276" w:type="dxa"/>
          </w:tcPr>
          <w:p w14:paraId="06B4E816" w14:textId="44A5C2B2" w:rsidR="00422A2A" w:rsidRPr="0080302E" w:rsidRDefault="00422A2A" w:rsidP="00013652">
            <w:pPr>
              <w:pStyle w:val="Caption"/>
              <w:numPr>
                <w:ilvl w:val="2"/>
                <w:numId w:val="48"/>
              </w:numPr>
              <w:spacing w:before="0"/>
              <w:rPr>
                <w:rFonts w:ascii="Times New Roman" w:eastAsia="Times New Roman" w:hAnsi="Times New Roman" w:cs="Times New Roman"/>
                <w:lang w:val="lv-LV"/>
              </w:rPr>
            </w:pPr>
          </w:p>
        </w:tc>
        <w:tc>
          <w:tcPr>
            <w:tcW w:w="3890" w:type="dxa"/>
          </w:tcPr>
          <w:p w14:paraId="2F06D77D" w14:textId="7C849E2C" w:rsidR="00422A2A" w:rsidRPr="005237AF" w:rsidRDefault="00422A2A" w:rsidP="00013652">
            <w:pPr>
              <w:pStyle w:val="Caption"/>
              <w:spacing w:before="0"/>
              <w:rPr>
                <w:rFonts w:ascii="Times New Roman" w:eastAsia="Times New Roman" w:hAnsi="Times New Roman" w:cs="Times New Roman"/>
                <w:lang w:val="lv-LV"/>
              </w:rPr>
            </w:pPr>
            <w:r w:rsidRPr="0080302E">
              <w:rPr>
                <w:rFonts w:ascii="Times New Roman" w:eastAsia="Times New Roman" w:hAnsi="Times New Roman" w:cs="Times New Roman"/>
                <w:lang w:val="lv-LV"/>
              </w:rPr>
              <w:t xml:space="preserve">A </w:t>
            </w:r>
            <w:proofErr w:type="spellStart"/>
            <w:r w:rsidRPr="0080302E">
              <w:rPr>
                <w:rFonts w:ascii="Times New Roman" w:eastAsia="Times New Roman" w:hAnsi="Times New Roman" w:cs="Times New Roman"/>
                <w:lang w:val="lv-LV"/>
              </w:rPr>
              <w:t>separate</w:t>
            </w:r>
            <w:proofErr w:type="spellEnd"/>
            <w:r w:rsidRPr="0080302E">
              <w:rPr>
                <w:rFonts w:ascii="Times New Roman" w:eastAsia="Times New Roman" w:hAnsi="Times New Roman" w:cs="Times New Roman"/>
                <w:lang w:val="lv-LV"/>
              </w:rPr>
              <w:t xml:space="preserve"> MP </w:t>
            </w:r>
            <w:proofErr w:type="spellStart"/>
            <w:r w:rsidRPr="0080302E">
              <w:rPr>
                <w:rFonts w:ascii="Times New Roman" w:eastAsia="Times New Roman" w:hAnsi="Times New Roman" w:cs="Times New Roman"/>
                <w:lang w:val="lv-LV"/>
              </w:rPr>
              <w:t>is</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defined</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for</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each</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activation</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direction</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up</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and</w:t>
            </w:r>
            <w:proofErr w:type="spellEnd"/>
            <w:r w:rsidRPr="0080302E">
              <w:rPr>
                <w:rFonts w:ascii="Times New Roman" w:eastAsia="Times New Roman" w:hAnsi="Times New Roman" w:cs="Times New Roman"/>
                <w:lang w:val="lv-LV"/>
              </w:rPr>
              <w:t xml:space="preserve"> </w:t>
            </w:r>
            <w:proofErr w:type="spellStart"/>
            <w:r w:rsidRPr="0080302E">
              <w:rPr>
                <w:rFonts w:ascii="Times New Roman" w:eastAsia="Times New Roman" w:hAnsi="Times New Roman" w:cs="Times New Roman"/>
                <w:lang w:val="lv-LV"/>
              </w:rPr>
              <w:t>down</w:t>
            </w:r>
            <w:proofErr w:type="spellEnd"/>
            <w:r w:rsidRPr="0080302E">
              <w:rPr>
                <w:rFonts w:ascii="Times New Roman" w:eastAsia="Times New Roman" w:hAnsi="Times New Roman" w:cs="Times New Roman"/>
                <w:lang w:val="lv-LV"/>
              </w:rPr>
              <w:t>;</w:t>
            </w:r>
          </w:p>
        </w:tc>
        <w:tc>
          <w:tcPr>
            <w:tcW w:w="3760" w:type="dxa"/>
          </w:tcPr>
          <w:p w14:paraId="2C2EE4A6" w14:textId="05A27E74" w:rsidR="00422A2A" w:rsidRDefault="00422A2A" w:rsidP="005A43AF">
            <w:pPr>
              <w:ind w:hanging="2"/>
              <w:jc w:val="both"/>
              <w:rPr>
                <w:rFonts w:ascii="Times New Roman" w:hAnsi="Times New Roman" w:cs="Times New Roman"/>
                <w:sz w:val="24"/>
                <w:szCs w:val="24"/>
              </w:rPr>
            </w:pPr>
            <w:r>
              <w:rPr>
                <w:rFonts w:ascii="Times New Roman" w:hAnsi="Times New Roman" w:cs="Times New Roman"/>
                <w:sz w:val="24"/>
                <w:szCs w:val="24"/>
              </w:rPr>
              <w:t>Katram aktivizēšanas virzienam uz augšu un uz leju tiek noteikts atsevišķa MP;</w:t>
            </w:r>
          </w:p>
          <w:p w14:paraId="3485B199" w14:textId="6ED4203B" w:rsidR="00422A2A" w:rsidRDefault="00422A2A" w:rsidP="005A43AF">
            <w:pPr>
              <w:jc w:val="both"/>
              <w:rPr>
                <w:rFonts w:ascii="Times New Roman" w:hAnsi="Times New Roman" w:cs="Times New Roman"/>
                <w:sz w:val="24"/>
                <w:szCs w:val="24"/>
              </w:rPr>
            </w:pPr>
          </w:p>
        </w:tc>
      </w:tr>
      <w:tr w:rsidR="00F527BD" w14:paraId="6AB21796" w14:textId="77777777" w:rsidTr="00F527BD">
        <w:trPr>
          <w:trHeight w:val="1069"/>
        </w:trPr>
        <w:tc>
          <w:tcPr>
            <w:tcW w:w="1276" w:type="dxa"/>
          </w:tcPr>
          <w:p w14:paraId="3C458AD1" w14:textId="77777777" w:rsidR="00422A2A" w:rsidRPr="003D0B6C" w:rsidRDefault="00422A2A" w:rsidP="00013652">
            <w:pPr>
              <w:pStyle w:val="Caption"/>
              <w:numPr>
                <w:ilvl w:val="2"/>
                <w:numId w:val="48"/>
              </w:numPr>
              <w:spacing w:before="0"/>
              <w:rPr>
                <w:rFonts w:ascii="Times New Roman" w:eastAsia="Times New Roman" w:hAnsi="Times New Roman" w:cs="Times New Roman"/>
                <w:lang w:val="lv-LV"/>
              </w:rPr>
            </w:pPr>
          </w:p>
        </w:tc>
        <w:tc>
          <w:tcPr>
            <w:tcW w:w="3890" w:type="dxa"/>
          </w:tcPr>
          <w:p w14:paraId="469EA128" w14:textId="65384F42" w:rsidR="00422A2A" w:rsidRPr="005237AF" w:rsidRDefault="00422A2A" w:rsidP="00013652">
            <w:pPr>
              <w:pStyle w:val="Caption"/>
              <w:spacing w:before="0"/>
              <w:rPr>
                <w:rFonts w:ascii="Times New Roman" w:eastAsia="Times New Roman" w:hAnsi="Times New Roman" w:cs="Times New Roman"/>
                <w:lang w:val="lv-LV"/>
              </w:rPr>
            </w:pPr>
            <w:r w:rsidRPr="003D0B6C">
              <w:rPr>
                <w:rFonts w:ascii="Times New Roman" w:eastAsia="Times New Roman" w:hAnsi="Times New Roman" w:cs="Times New Roman"/>
                <w:lang w:val="lv-LV"/>
              </w:rPr>
              <w:t xml:space="preserve">A </w:t>
            </w:r>
            <w:proofErr w:type="spellStart"/>
            <w:r w:rsidRPr="003D0B6C">
              <w:rPr>
                <w:rFonts w:ascii="Times New Roman" w:eastAsia="Times New Roman" w:hAnsi="Times New Roman" w:cs="Times New Roman"/>
                <w:lang w:val="lv-LV"/>
              </w:rPr>
              <w:t>separate</w:t>
            </w:r>
            <w:proofErr w:type="spellEnd"/>
            <w:r w:rsidRPr="003D0B6C">
              <w:rPr>
                <w:rFonts w:ascii="Times New Roman" w:eastAsia="Times New Roman" w:hAnsi="Times New Roman" w:cs="Times New Roman"/>
                <w:lang w:val="lv-LV"/>
              </w:rPr>
              <w:t xml:space="preserve"> MP </w:t>
            </w:r>
            <w:proofErr w:type="spellStart"/>
            <w:r w:rsidRPr="003D0B6C">
              <w:rPr>
                <w:rFonts w:ascii="Times New Roman" w:eastAsia="Times New Roman" w:hAnsi="Times New Roman" w:cs="Times New Roman"/>
                <w:lang w:val="lv-LV"/>
              </w:rPr>
              <w:t>is</w:t>
            </w:r>
            <w:proofErr w:type="spellEnd"/>
            <w:r w:rsidRPr="003D0B6C">
              <w:rPr>
                <w:rFonts w:ascii="Times New Roman" w:eastAsia="Times New Roman" w:hAnsi="Times New Roman" w:cs="Times New Roman"/>
                <w:lang w:val="lv-LV"/>
              </w:rPr>
              <w:t xml:space="preserve"> set </w:t>
            </w:r>
            <w:proofErr w:type="spellStart"/>
            <w:r w:rsidRPr="003D0B6C">
              <w:rPr>
                <w:rFonts w:ascii="Times New Roman" w:eastAsia="Times New Roman" w:hAnsi="Times New Roman" w:cs="Times New Roman"/>
                <w:lang w:val="lv-LV"/>
              </w:rPr>
              <w:t>if</w:t>
            </w:r>
            <w:proofErr w:type="spellEnd"/>
            <w:r w:rsidRPr="003D0B6C">
              <w:rPr>
                <w:rFonts w:ascii="Times New Roman" w:eastAsia="Times New Roman" w:hAnsi="Times New Roman" w:cs="Times New Roman"/>
                <w:lang w:val="lv-LV"/>
              </w:rPr>
              <w:t xml:space="preserve"> no </w:t>
            </w:r>
            <w:proofErr w:type="spellStart"/>
            <w:r w:rsidRPr="003D0B6C">
              <w:rPr>
                <w:rFonts w:ascii="Times New Roman" w:eastAsia="Times New Roman" w:hAnsi="Times New Roman" w:cs="Times New Roman"/>
                <w:lang w:val="lv-LV"/>
              </w:rPr>
              <w:t>bid</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was</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selected</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for</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activation</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in</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either</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the</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up</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or</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down</w:t>
            </w:r>
            <w:proofErr w:type="spellEnd"/>
            <w:r w:rsidRPr="003D0B6C">
              <w:rPr>
                <w:rFonts w:ascii="Times New Roman" w:eastAsia="Times New Roman" w:hAnsi="Times New Roman" w:cs="Times New Roman"/>
                <w:lang w:val="lv-LV"/>
              </w:rPr>
              <w:t xml:space="preserve"> </w:t>
            </w:r>
            <w:proofErr w:type="spellStart"/>
            <w:r w:rsidRPr="003D0B6C">
              <w:rPr>
                <w:rFonts w:ascii="Times New Roman" w:eastAsia="Times New Roman" w:hAnsi="Times New Roman" w:cs="Times New Roman"/>
                <w:lang w:val="lv-LV"/>
              </w:rPr>
              <w:t>direction</w:t>
            </w:r>
            <w:proofErr w:type="spellEnd"/>
            <w:r w:rsidRPr="003D0B6C">
              <w:rPr>
                <w:rFonts w:ascii="Times New Roman" w:eastAsia="Times New Roman" w:hAnsi="Times New Roman" w:cs="Times New Roman"/>
                <w:lang w:val="lv-LV"/>
              </w:rPr>
              <w:t>;</w:t>
            </w:r>
          </w:p>
        </w:tc>
        <w:tc>
          <w:tcPr>
            <w:tcW w:w="3760" w:type="dxa"/>
          </w:tcPr>
          <w:p w14:paraId="565EB9D6" w14:textId="77777777" w:rsidR="00422A2A" w:rsidRPr="00F107A0" w:rsidRDefault="00422A2A" w:rsidP="005A43AF">
            <w:pPr>
              <w:ind w:hanging="5"/>
              <w:jc w:val="both"/>
              <w:rPr>
                <w:rFonts w:ascii="Times New Roman" w:hAnsi="Times New Roman" w:cs="Times New Roman"/>
                <w:sz w:val="24"/>
                <w:szCs w:val="24"/>
              </w:rPr>
            </w:pPr>
            <w:r w:rsidRPr="00F107A0">
              <w:rPr>
                <w:rFonts w:ascii="Times New Roman" w:hAnsi="Times New Roman" w:cs="Times New Roman"/>
                <w:sz w:val="24"/>
                <w:szCs w:val="24"/>
              </w:rPr>
              <w:t>Tiek noteikts atsevišķa MP, ja netika atlasīts neviens solījums aktivizēšanai jebkurā virzienā uz augšu vai uz leju;</w:t>
            </w:r>
          </w:p>
          <w:p w14:paraId="4E995080" w14:textId="4F398A2A" w:rsidR="00422A2A" w:rsidRDefault="00422A2A" w:rsidP="005A43AF">
            <w:pPr>
              <w:jc w:val="both"/>
              <w:rPr>
                <w:rFonts w:ascii="Times New Roman" w:hAnsi="Times New Roman" w:cs="Times New Roman"/>
                <w:sz w:val="24"/>
                <w:szCs w:val="24"/>
              </w:rPr>
            </w:pPr>
          </w:p>
        </w:tc>
      </w:tr>
      <w:tr w:rsidR="00F527BD" w14:paraId="11658B46" w14:textId="77777777" w:rsidTr="00F527BD">
        <w:trPr>
          <w:trHeight w:val="1069"/>
        </w:trPr>
        <w:tc>
          <w:tcPr>
            <w:tcW w:w="1276" w:type="dxa"/>
          </w:tcPr>
          <w:p w14:paraId="2704F609" w14:textId="77777777" w:rsidR="00422A2A" w:rsidRPr="003D662E" w:rsidRDefault="00422A2A" w:rsidP="00013652">
            <w:pPr>
              <w:pStyle w:val="Caption"/>
              <w:numPr>
                <w:ilvl w:val="2"/>
                <w:numId w:val="48"/>
              </w:numPr>
              <w:spacing w:before="0"/>
              <w:rPr>
                <w:rFonts w:ascii="Times New Roman" w:eastAsia="Times New Roman" w:hAnsi="Times New Roman" w:cs="Times New Roman"/>
                <w:lang w:val="lv-LV"/>
              </w:rPr>
            </w:pPr>
          </w:p>
        </w:tc>
        <w:tc>
          <w:tcPr>
            <w:tcW w:w="3890" w:type="dxa"/>
          </w:tcPr>
          <w:p w14:paraId="4D3FD492" w14:textId="52EB46B9" w:rsidR="00422A2A" w:rsidRPr="005237AF" w:rsidRDefault="00422A2A" w:rsidP="00013652">
            <w:pPr>
              <w:pStyle w:val="Caption"/>
              <w:spacing w:before="0"/>
              <w:rPr>
                <w:rFonts w:ascii="Times New Roman" w:eastAsia="Times New Roman" w:hAnsi="Times New Roman" w:cs="Times New Roman"/>
                <w:lang w:val="lv-LV"/>
              </w:rPr>
            </w:pPr>
            <w:proofErr w:type="spellStart"/>
            <w:r w:rsidRPr="003D662E">
              <w:rPr>
                <w:rFonts w:ascii="Times New Roman" w:eastAsia="Times New Roman" w:hAnsi="Times New Roman" w:cs="Times New Roman"/>
                <w:lang w:val="lv-LV"/>
              </w:rPr>
              <w:t>The</w:t>
            </w:r>
            <w:proofErr w:type="spellEnd"/>
            <w:r w:rsidRPr="003D662E">
              <w:rPr>
                <w:rFonts w:ascii="Times New Roman" w:eastAsia="Times New Roman" w:hAnsi="Times New Roman" w:cs="Times New Roman"/>
                <w:lang w:val="lv-LV"/>
              </w:rPr>
              <w:t xml:space="preserve"> MP </w:t>
            </w:r>
            <w:proofErr w:type="spellStart"/>
            <w:r w:rsidRPr="003D662E">
              <w:rPr>
                <w:rFonts w:ascii="Times New Roman" w:eastAsia="Times New Roman" w:hAnsi="Times New Roman" w:cs="Times New Roman"/>
                <w:lang w:val="lv-LV"/>
              </w:rPr>
              <w:t>is</w:t>
            </w:r>
            <w:proofErr w:type="spellEnd"/>
            <w:r w:rsidRPr="003D662E">
              <w:rPr>
                <w:rFonts w:ascii="Times New Roman" w:eastAsia="Times New Roman" w:hAnsi="Times New Roman" w:cs="Times New Roman"/>
                <w:lang w:val="lv-LV"/>
              </w:rPr>
              <w:t xml:space="preserve"> </w:t>
            </w:r>
            <w:proofErr w:type="spellStart"/>
            <w:r w:rsidRPr="003D662E">
              <w:rPr>
                <w:rFonts w:ascii="Times New Roman" w:eastAsia="Times New Roman" w:hAnsi="Times New Roman" w:cs="Times New Roman"/>
                <w:lang w:val="lv-LV"/>
              </w:rPr>
              <w:t>calculated</w:t>
            </w:r>
            <w:proofErr w:type="spellEnd"/>
            <w:r w:rsidRPr="003D662E">
              <w:rPr>
                <w:rFonts w:ascii="Times New Roman" w:eastAsia="Times New Roman" w:hAnsi="Times New Roman" w:cs="Times New Roman"/>
                <w:lang w:val="lv-LV"/>
              </w:rPr>
              <w:t xml:space="preserve"> </w:t>
            </w:r>
            <w:proofErr w:type="spellStart"/>
            <w:r w:rsidRPr="003D662E">
              <w:rPr>
                <w:rFonts w:ascii="Times New Roman" w:eastAsia="Times New Roman" w:hAnsi="Times New Roman" w:cs="Times New Roman"/>
                <w:lang w:val="lv-LV"/>
              </w:rPr>
              <w:t>for</w:t>
            </w:r>
            <w:proofErr w:type="spellEnd"/>
            <w:r w:rsidRPr="003D662E">
              <w:rPr>
                <w:rFonts w:ascii="Times New Roman" w:eastAsia="Times New Roman" w:hAnsi="Times New Roman" w:cs="Times New Roman"/>
                <w:lang w:val="lv-LV"/>
              </w:rPr>
              <w:t xml:space="preserve"> </w:t>
            </w:r>
            <w:proofErr w:type="spellStart"/>
            <w:r w:rsidRPr="003D662E">
              <w:rPr>
                <w:rFonts w:ascii="Times New Roman" w:eastAsia="Times New Roman" w:hAnsi="Times New Roman" w:cs="Times New Roman"/>
                <w:lang w:val="lv-LV"/>
              </w:rPr>
              <w:t>each</w:t>
            </w:r>
            <w:proofErr w:type="spellEnd"/>
            <w:r w:rsidRPr="003D662E">
              <w:rPr>
                <w:rFonts w:ascii="Times New Roman" w:eastAsia="Times New Roman" w:hAnsi="Times New Roman" w:cs="Times New Roman"/>
                <w:lang w:val="lv-LV"/>
              </w:rPr>
              <w:t xml:space="preserve"> </w:t>
            </w:r>
            <w:proofErr w:type="spellStart"/>
            <w:r w:rsidRPr="003D662E">
              <w:rPr>
                <w:rFonts w:ascii="Times New Roman" w:eastAsia="Times New Roman" w:hAnsi="Times New Roman" w:cs="Times New Roman"/>
                <w:lang w:val="lv-LV"/>
              </w:rPr>
              <w:t>aFRR</w:t>
            </w:r>
            <w:proofErr w:type="spellEnd"/>
            <w:r w:rsidRPr="003D662E">
              <w:rPr>
                <w:rFonts w:ascii="Times New Roman" w:eastAsia="Times New Roman" w:hAnsi="Times New Roman" w:cs="Times New Roman"/>
                <w:lang w:val="lv-LV"/>
              </w:rPr>
              <w:t xml:space="preserve"> MTU </w:t>
            </w:r>
            <w:proofErr w:type="spellStart"/>
            <w:r w:rsidRPr="003D662E">
              <w:rPr>
                <w:rFonts w:ascii="Times New Roman" w:eastAsia="Times New Roman" w:hAnsi="Times New Roman" w:cs="Times New Roman"/>
                <w:lang w:val="lv-LV"/>
              </w:rPr>
              <w:t>separately</w:t>
            </w:r>
            <w:proofErr w:type="spellEnd"/>
            <w:r w:rsidRPr="003D662E">
              <w:rPr>
                <w:rFonts w:ascii="Times New Roman" w:eastAsia="Times New Roman" w:hAnsi="Times New Roman" w:cs="Times New Roman"/>
                <w:lang w:val="lv-LV"/>
              </w:rPr>
              <w:t>.</w:t>
            </w:r>
          </w:p>
        </w:tc>
        <w:tc>
          <w:tcPr>
            <w:tcW w:w="3760" w:type="dxa"/>
          </w:tcPr>
          <w:p w14:paraId="24CAC147" w14:textId="0F1E192F" w:rsidR="00422A2A" w:rsidRDefault="00422A2A" w:rsidP="005A43AF">
            <w:pPr>
              <w:jc w:val="both"/>
              <w:rPr>
                <w:rFonts w:ascii="Times New Roman" w:hAnsi="Times New Roman" w:cs="Times New Roman"/>
                <w:sz w:val="24"/>
                <w:szCs w:val="24"/>
              </w:rPr>
            </w:pPr>
            <w:r w:rsidRPr="00F107A0">
              <w:rPr>
                <w:rFonts w:ascii="Times New Roman" w:hAnsi="Times New Roman" w:cs="Times New Roman"/>
                <w:sz w:val="24"/>
                <w:szCs w:val="24"/>
              </w:rPr>
              <w:t xml:space="preserve">MP tiek aprēķināts katram </w:t>
            </w:r>
            <w:proofErr w:type="spellStart"/>
            <w:r w:rsidRPr="00F107A0">
              <w:rPr>
                <w:rFonts w:ascii="Times New Roman" w:hAnsi="Times New Roman" w:cs="Times New Roman"/>
                <w:sz w:val="24"/>
                <w:szCs w:val="24"/>
              </w:rPr>
              <w:t>aFRR</w:t>
            </w:r>
            <w:proofErr w:type="spellEnd"/>
            <w:r w:rsidRPr="00F107A0">
              <w:rPr>
                <w:rFonts w:ascii="Times New Roman" w:hAnsi="Times New Roman" w:cs="Times New Roman"/>
                <w:sz w:val="24"/>
                <w:szCs w:val="24"/>
              </w:rPr>
              <w:t xml:space="preserve"> MTU atsevišķi.</w:t>
            </w:r>
          </w:p>
        </w:tc>
      </w:tr>
      <w:tr w:rsidR="00F527BD" w14:paraId="1EAAAF45" w14:textId="77777777" w:rsidTr="00F527BD">
        <w:trPr>
          <w:trHeight w:val="983"/>
        </w:trPr>
        <w:tc>
          <w:tcPr>
            <w:tcW w:w="1276" w:type="dxa"/>
          </w:tcPr>
          <w:p w14:paraId="5C0D6D5E" w14:textId="03533D79" w:rsidR="00422A2A" w:rsidRDefault="00422A2A" w:rsidP="00013652">
            <w:pPr>
              <w:pStyle w:val="Caption"/>
              <w:numPr>
                <w:ilvl w:val="1"/>
                <w:numId w:val="48"/>
              </w:numPr>
              <w:spacing w:before="0"/>
              <w:rPr>
                <w:rFonts w:ascii="Times New Roman" w:eastAsia="Times New Roman" w:hAnsi="Times New Roman" w:cs="Times New Roman"/>
                <w:lang w:val="lv-LV"/>
              </w:rPr>
            </w:pPr>
          </w:p>
        </w:tc>
        <w:tc>
          <w:tcPr>
            <w:tcW w:w="3890" w:type="dxa"/>
          </w:tcPr>
          <w:p w14:paraId="501F210C" w14:textId="081F31CC" w:rsidR="00422A2A" w:rsidRPr="005237AF" w:rsidRDefault="00422A2A" w:rsidP="00013652">
            <w:pPr>
              <w:pStyle w:val="Caption"/>
              <w:spacing w:before="0"/>
              <w:ind w:left="32"/>
              <w:rPr>
                <w:rFonts w:ascii="Times New Roman" w:eastAsia="Times New Roman" w:hAnsi="Times New Roman" w:cs="Times New Roman"/>
                <w:lang w:val="lv-LV"/>
              </w:rPr>
            </w:pPr>
            <w:proofErr w:type="spellStart"/>
            <w:r>
              <w:rPr>
                <w:rFonts w:ascii="Times New Roman" w:eastAsia="Times New Roman" w:hAnsi="Times New Roman" w:cs="Times New Roman"/>
                <w:lang w:val="lv-LV"/>
              </w:rPr>
              <w:t>F</w:t>
            </w:r>
            <w:r w:rsidRPr="009D7318">
              <w:rPr>
                <w:rFonts w:ascii="Times New Roman" w:eastAsia="Times New Roman" w:hAnsi="Times New Roman" w:cs="Times New Roman"/>
                <w:lang w:val="lv-LV"/>
              </w:rPr>
              <w:t>or</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aFRR</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balancing</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product</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bids</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activated</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in</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the</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control</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area</w:t>
            </w:r>
            <w:proofErr w:type="spellEnd"/>
            <w:r w:rsidRPr="009D7318">
              <w:rPr>
                <w:rFonts w:ascii="Times New Roman" w:eastAsia="Times New Roman" w:hAnsi="Times New Roman" w:cs="Times New Roman"/>
                <w:lang w:val="lv-LV"/>
              </w:rPr>
              <w:t xml:space="preserve"> MP</w:t>
            </w:r>
            <w:r>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shall</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be</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used</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as</w:t>
            </w:r>
            <w:proofErr w:type="spellEnd"/>
            <w:r w:rsidRPr="009D7318">
              <w:rPr>
                <w:rFonts w:ascii="Times New Roman" w:eastAsia="Times New Roman" w:hAnsi="Times New Roman" w:cs="Times New Roman"/>
                <w:lang w:val="lv-LV"/>
              </w:rPr>
              <w:t xml:space="preserve"> </w:t>
            </w:r>
            <w:proofErr w:type="spellStart"/>
            <w:r w:rsidRPr="009D7318">
              <w:rPr>
                <w:rFonts w:ascii="Times New Roman" w:eastAsia="Times New Roman" w:hAnsi="Times New Roman" w:cs="Times New Roman"/>
                <w:lang w:val="lv-LV"/>
              </w:rPr>
              <w:t>follows</w:t>
            </w:r>
            <w:proofErr w:type="spellEnd"/>
            <w:r w:rsidRPr="009D7318">
              <w:rPr>
                <w:rFonts w:ascii="Times New Roman" w:eastAsia="Times New Roman" w:hAnsi="Times New Roman" w:cs="Times New Roman"/>
                <w:lang w:val="lv-LV"/>
              </w:rPr>
              <w:t>:</w:t>
            </w:r>
          </w:p>
        </w:tc>
        <w:tc>
          <w:tcPr>
            <w:tcW w:w="3760" w:type="dxa"/>
          </w:tcPr>
          <w:p w14:paraId="1A6416F6" w14:textId="77736967" w:rsidR="00422A2A" w:rsidRPr="00941DA8" w:rsidRDefault="00422A2A" w:rsidP="005A43AF">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941DA8">
              <w:rPr>
                <w:rFonts w:ascii="Times New Roman" w:hAnsi="Times New Roman" w:cs="Times New Roman"/>
                <w:sz w:val="24"/>
                <w:szCs w:val="24"/>
              </w:rPr>
              <w:t>FRR</w:t>
            </w:r>
            <w:proofErr w:type="spellEnd"/>
            <w:r w:rsidRPr="00941DA8">
              <w:rPr>
                <w:rFonts w:ascii="Times New Roman" w:hAnsi="Times New Roman" w:cs="Times New Roman"/>
                <w:sz w:val="24"/>
                <w:szCs w:val="24"/>
              </w:rPr>
              <w:t xml:space="preserve"> regulēšanas produkta solījumiem, kas aktivizēti </w:t>
            </w:r>
            <w:r>
              <w:rPr>
                <w:rFonts w:ascii="Times New Roman" w:hAnsi="Times New Roman" w:cs="Times New Roman"/>
                <w:sz w:val="24"/>
                <w:szCs w:val="24"/>
              </w:rPr>
              <w:t>kontroles zonā,</w:t>
            </w:r>
            <w:r w:rsidRPr="00941DA8">
              <w:rPr>
                <w:rFonts w:ascii="Times New Roman" w:hAnsi="Times New Roman" w:cs="Times New Roman"/>
                <w:sz w:val="24"/>
                <w:szCs w:val="24"/>
              </w:rPr>
              <w:t xml:space="preserve"> izmanto MP, ievērojot sekojošo:</w:t>
            </w:r>
          </w:p>
          <w:p w14:paraId="5543A200" w14:textId="2B069340" w:rsidR="00422A2A" w:rsidRDefault="00422A2A" w:rsidP="005A43AF">
            <w:pPr>
              <w:tabs>
                <w:tab w:val="left" w:pos="426"/>
              </w:tabs>
              <w:ind w:left="-2"/>
              <w:jc w:val="both"/>
              <w:rPr>
                <w:rFonts w:ascii="Times New Roman" w:hAnsi="Times New Roman" w:cs="Times New Roman"/>
                <w:sz w:val="24"/>
                <w:szCs w:val="24"/>
              </w:rPr>
            </w:pPr>
          </w:p>
        </w:tc>
      </w:tr>
      <w:tr w:rsidR="00F527BD" w14:paraId="5163CAB5" w14:textId="77777777" w:rsidTr="00F527BD">
        <w:trPr>
          <w:trHeight w:val="2344"/>
        </w:trPr>
        <w:tc>
          <w:tcPr>
            <w:tcW w:w="1276" w:type="dxa"/>
          </w:tcPr>
          <w:p w14:paraId="77FA5240" w14:textId="77777777" w:rsidR="00422A2A" w:rsidRPr="00103B1F" w:rsidRDefault="00422A2A" w:rsidP="00013652">
            <w:pPr>
              <w:pStyle w:val="Caption"/>
              <w:numPr>
                <w:ilvl w:val="2"/>
                <w:numId w:val="48"/>
              </w:numPr>
              <w:spacing w:before="0"/>
              <w:rPr>
                <w:rFonts w:ascii="Times New Roman" w:eastAsia="Times New Roman" w:hAnsi="Times New Roman" w:cs="Times New Roman"/>
                <w:lang w:val="lv-LV"/>
              </w:rPr>
            </w:pPr>
          </w:p>
        </w:tc>
        <w:tc>
          <w:tcPr>
            <w:tcW w:w="3890" w:type="dxa"/>
          </w:tcPr>
          <w:p w14:paraId="7FC81B64" w14:textId="0A299308" w:rsidR="00422A2A" w:rsidRPr="005237AF" w:rsidRDefault="00422A2A" w:rsidP="00013652">
            <w:pPr>
              <w:pStyle w:val="Caption"/>
              <w:spacing w:before="0"/>
              <w:rPr>
                <w:rFonts w:ascii="Times New Roman" w:eastAsia="Times New Roman" w:hAnsi="Times New Roman" w:cs="Times New Roman"/>
                <w:lang w:val="lv-LV"/>
              </w:rPr>
            </w:pP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MP </w:t>
            </w:r>
            <w:proofErr w:type="spellStart"/>
            <w:r w:rsidRPr="00103B1F">
              <w:rPr>
                <w:rFonts w:ascii="Times New Roman" w:eastAsia="Times New Roman" w:hAnsi="Times New Roman" w:cs="Times New Roman"/>
                <w:lang w:val="lv-LV"/>
              </w:rPr>
              <w:t>for</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upward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activations</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shall</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be</w:t>
            </w:r>
            <w:proofErr w:type="spellEnd"/>
            <w:r w:rsidRPr="00103B1F">
              <w:rPr>
                <w:rFonts w:ascii="Times New Roman" w:eastAsia="Times New Roman" w:hAnsi="Times New Roman" w:cs="Times New Roman"/>
                <w:lang w:val="lv-LV"/>
              </w:rPr>
              <w:t xml:space="preserve"> set </w:t>
            </w:r>
            <w:proofErr w:type="spellStart"/>
            <w:r w:rsidRPr="00103B1F">
              <w:rPr>
                <w:rFonts w:ascii="Times New Roman" w:eastAsia="Times New Roman" w:hAnsi="Times New Roman" w:cs="Times New Roman"/>
                <w:lang w:val="lv-LV"/>
              </w:rPr>
              <w:t>at</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bid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price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of</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most</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expensive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locally</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activated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upward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regulation</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product</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bid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and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shall</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not</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be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lower</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than</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CBMP </w:t>
            </w:r>
            <w:proofErr w:type="spellStart"/>
            <w:r w:rsidRPr="00103B1F">
              <w:rPr>
                <w:rFonts w:ascii="Times New Roman" w:eastAsia="Times New Roman" w:hAnsi="Times New Roman" w:cs="Times New Roman"/>
                <w:lang w:val="lv-LV"/>
              </w:rPr>
              <w:t>for</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relevant MTU </w:t>
            </w:r>
            <w:proofErr w:type="spellStart"/>
            <w:r w:rsidRPr="00103B1F">
              <w:rPr>
                <w:rFonts w:ascii="Times New Roman" w:eastAsia="Times New Roman" w:hAnsi="Times New Roman" w:cs="Times New Roman"/>
                <w:lang w:val="lv-LV"/>
              </w:rPr>
              <w:t>and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direction</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as</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determined</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by</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PICASSO AOF </w:t>
            </w:r>
            <w:proofErr w:type="spellStart"/>
            <w:r w:rsidRPr="00103B1F">
              <w:rPr>
                <w:rFonts w:ascii="Times New Roman" w:eastAsia="Times New Roman" w:hAnsi="Times New Roman" w:cs="Times New Roman"/>
                <w:lang w:val="lv-LV"/>
              </w:rPr>
              <w:t>in</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accordance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with</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pricing</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methodology</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under</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the</w:t>
            </w:r>
            <w:proofErr w:type="spellEnd"/>
            <w:r w:rsidRPr="00103B1F">
              <w:rPr>
                <w:rFonts w:ascii="Times New Roman" w:eastAsia="Times New Roman" w:hAnsi="Times New Roman" w:cs="Times New Roman"/>
                <w:lang w:val="lv-LV"/>
              </w:rPr>
              <w:t xml:space="preserve"> </w:t>
            </w:r>
            <w:proofErr w:type="spellStart"/>
            <w:r w:rsidRPr="00103B1F">
              <w:rPr>
                <w:rFonts w:ascii="Times New Roman" w:eastAsia="Times New Roman" w:hAnsi="Times New Roman" w:cs="Times New Roman"/>
                <w:lang w:val="lv-LV"/>
              </w:rPr>
              <w:t>aFRR</w:t>
            </w:r>
            <w:proofErr w:type="spellEnd"/>
            <w:r w:rsidRPr="00103B1F">
              <w:rPr>
                <w:rFonts w:ascii="Times New Roman" w:eastAsia="Times New Roman" w:hAnsi="Times New Roman" w:cs="Times New Roman"/>
                <w:lang w:val="lv-LV"/>
              </w:rPr>
              <w:t xml:space="preserve"> IF.  </w:t>
            </w:r>
          </w:p>
        </w:tc>
        <w:tc>
          <w:tcPr>
            <w:tcW w:w="3760" w:type="dxa"/>
          </w:tcPr>
          <w:p w14:paraId="37337E79" w14:textId="77777777" w:rsidR="00422A2A" w:rsidRPr="00941DA8" w:rsidRDefault="00422A2A" w:rsidP="005A43AF">
            <w:pPr>
              <w:tabs>
                <w:tab w:val="left" w:pos="426"/>
              </w:tabs>
              <w:ind w:left="-2" w:firstLine="2"/>
              <w:jc w:val="both"/>
              <w:rPr>
                <w:rFonts w:ascii="Times New Roman" w:hAnsi="Times New Roman" w:cs="Times New Roman"/>
                <w:sz w:val="24"/>
                <w:szCs w:val="24"/>
              </w:rPr>
            </w:pPr>
            <w:r w:rsidRPr="00941DA8">
              <w:rPr>
                <w:rFonts w:ascii="Times New Roman" w:hAnsi="Times New Roman" w:cs="Times New Roman"/>
                <w:sz w:val="24"/>
                <w:szCs w:val="24"/>
              </w:rPr>
              <w:t xml:space="preserve">MP </w:t>
            </w:r>
            <w:proofErr w:type="spellStart"/>
            <w:r w:rsidRPr="00941DA8">
              <w:rPr>
                <w:rFonts w:ascii="Times New Roman" w:hAnsi="Times New Roman" w:cs="Times New Roman"/>
                <w:sz w:val="24"/>
                <w:szCs w:val="24"/>
              </w:rPr>
              <w:t>augšupvērstām</w:t>
            </w:r>
            <w:proofErr w:type="spellEnd"/>
            <w:r w:rsidRPr="00941DA8">
              <w:rPr>
                <w:rFonts w:ascii="Times New Roman" w:hAnsi="Times New Roman" w:cs="Times New Roman"/>
                <w:sz w:val="24"/>
                <w:szCs w:val="24"/>
              </w:rPr>
              <w:t xml:space="preserve"> aktivizācijām nosaka pēc visdārgākā lokāli aktivizētā </w:t>
            </w:r>
            <w:proofErr w:type="spellStart"/>
            <w:r w:rsidRPr="00941DA8">
              <w:rPr>
                <w:rFonts w:ascii="Times New Roman" w:hAnsi="Times New Roman" w:cs="Times New Roman"/>
                <w:sz w:val="24"/>
                <w:szCs w:val="24"/>
              </w:rPr>
              <w:t>augšupvēr</w:t>
            </w:r>
            <w:r>
              <w:rPr>
                <w:rFonts w:ascii="Times New Roman" w:hAnsi="Times New Roman" w:cs="Times New Roman"/>
                <w:sz w:val="24"/>
                <w:szCs w:val="24"/>
              </w:rPr>
              <w:t>st</w:t>
            </w:r>
            <w:r w:rsidRPr="00941DA8">
              <w:rPr>
                <w:rFonts w:ascii="Times New Roman" w:hAnsi="Times New Roman" w:cs="Times New Roman"/>
                <w:sz w:val="24"/>
                <w:szCs w:val="24"/>
              </w:rPr>
              <w:t>ā</w:t>
            </w:r>
            <w:proofErr w:type="spellEnd"/>
            <w:r w:rsidRPr="00941DA8">
              <w:rPr>
                <w:rFonts w:ascii="Times New Roman" w:hAnsi="Times New Roman" w:cs="Times New Roman"/>
                <w:sz w:val="24"/>
                <w:szCs w:val="24"/>
              </w:rPr>
              <w:t xml:space="preserve"> regulēšanas produkta solījuma cen</w:t>
            </w:r>
            <w:r>
              <w:rPr>
                <w:rFonts w:ascii="Times New Roman" w:hAnsi="Times New Roman" w:cs="Times New Roman"/>
                <w:sz w:val="24"/>
                <w:szCs w:val="24"/>
              </w:rPr>
              <w:t>u</w:t>
            </w:r>
            <w:r w:rsidRPr="00941DA8">
              <w:rPr>
                <w:rFonts w:ascii="Times New Roman" w:hAnsi="Times New Roman" w:cs="Times New Roman"/>
                <w:sz w:val="24"/>
                <w:szCs w:val="24"/>
              </w:rPr>
              <w:t>, un tā nav zemāka par attiecīg</w:t>
            </w:r>
            <w:r>
              <w:rPr>
                <w:rFonts w:ascii="Times New Roman" w:hAnsi="Times New Roman" w:cs="Times New Roman"/>
                <w:sz w:val="24"/>
                <w:szCs w:val="24"/>
              </w:rPr>
              <w:t>ā</w:t>
            </w:r>
            <w:r w:rsidRPr="00941DA8">
              <w:rPr>
                <w:rFonts w:ascii="Times New Roman" w:hAnsi="Times New Roman" w:cs="Times New Roman"/>
                <w:sz w:val="24"/>
                <w:szCs w:val="24"/>
              </w:rPr>
              <w:t xml:space="preserve"> MTU un virziena</w:t>
            </w:r>
            <w:r>
              <w:rPr>
                <w:rFonts w:ascii="Times New Roman" w:hAnsi="Times New Roman" w:cs="Times New Roman"/>
                <w:sz w:val="24"/>
                <w:szCs w:val="24"/>
              </w:rPr>
              <w:t xml:space="preserve"> CBMP, kas noteikta PICASSO AOF darbības rezultātā saskaņā ar cenu noteikšanas metodiku, atbilstoši </w:t>
            </w: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IF.  </w:t>
            </w:r>
          </w:p>
          <w:p w14:paraId="3ACFCFCD" w14:textId="600EEBFF" w:rsidR="00422A2A" w:rsidRDefault="00422A2A" w:rsidP="005A43AF">
            <w:pPr>
              <w:jc w:val="both"/>
              <w:rPr>
                <w:rFonts w:ascii="Times New Roman" w:hAnsi="Times New Roman" w:cs="Times New Roman"/>
                <w:sz w:val="24"/>
                <w:szCs w:val="24"/>
              </w:rPr>
            </w:pPr>
          </w:p>
        </w:tc>
      </w:tr>
      <w:tr w:rsidR="00F527BD" w14:paraId="2DAD24D7" w14:textId="77777777" w:rsidTr="00F527BD">
        <w:trPr>
          <w:trHeight w:val="2344"/>
        </w:trPr>
        <w:tc>
          <w:tcPr>
            <w:tcW w:w="1276" w:type="dxa"/>
          </w:tcPr>
          <w:p w14:paraId="7A7B8BC9" w14:textId="77777777" w:rsidR="00422A2A" w:rsidRPr="00E118C3" w:rsidRDefault="00422A2A" w:rsidP="00013652">
            <w:pPr>
              <w:pStyle w:val="Caption"/>
              <w:numPr>
                <w:ilvl w:val="2"/>
                <w:numId w:val="48"/>
              </w:numPr>
              <w:spacing w:before="0"/>
              <w:rPr>
                <w:rFonts w:ascii="Times New Roman" w:eastAsia="Times New Roman" w:hAnsi="Times New Roman" w:cs="Times New Roman"/>
                <w:lang w:val="lv-LV"/>
              </w:rPr>
            </w:pPr>
          </w:p>
        </w:tc>
        <w:tc>
          <w:tcPr>
            <w:tcW w:w="3890" w:type="dxa"/>
          </w:tcPr>
          <w:p w14:paraId="7C64566B" w14:textId="593251DE" w:rsidR="00422A2A" w:rsidRPr="005237AF" w:rsidRDefault="00422A2A" w:rsidP="00013652">
            <w:pPr>
              <w:pStyle w:val="Caption"/>
              <w:spacing w:before="0"/>
              <w:rPr>
                <w:rFonts w:ascii="Times New Roman" w:eastAsia="Times New Roman" w:hAnsi="Times New Roman" w:cs="Times New Roman"/>
                <w:lang w:val="lv-LV"/>
              </w:rPr>
            </w:pP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LMP </w:t>
            </w:r>
            <w:proofErr w:type="spellStart"/>
            <w:r w:rsidRPr="00E118C3">
              <w:rPr>
                <w:rFonts w:ascii="Times New Roman" w:eastAsia="Times New Roman" w:hAnsi="Times New Roman" w:cs="Times New Roman"/>
                <w:lang w:val="lv-LV"/>
              </w:rPr>
              <w:t>for</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downwards</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activations</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shall</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be</w:t>
            </w:r>
            <w:proofErr w:type="spellEnd"/>
            <w:r w:rsidRPr="00E118C3">
              <w:rPr>
                <w:rFonts w:ascii="Times New Roman" w:eastAsia="Times New Roman" w:hAnsi="Times New Roman" w:cs="Times New Roman"/>
                <w:lang w:val="lv-LV"/>
              </w:rPr>
              <w:t xml:space="preserve"> set </w:t>
            </w:r>
            <w:proofErr w:type="spellStart"/>
            <w:r w:rsidRPr="00E118C3">
              <w:rPr>
                <w:rFonts w:ascii="Times New Roman" w:eastAsia="Times New Roman" w:hAnsi="Times New Roman" w:cs="Times New Roman"/>
                <w:lang w:val="lv-LV"/>
              </w:rPr>
              <w:t>at</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bid</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price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of</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least</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expensive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locally</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activated</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balancing</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product</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bid</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for</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downwards</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balancing</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and</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shall</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not</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higher</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than</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CBMP </w:t>
            </w:r>
            <w:proofErr w:type="spellStart"/>
            <w:r w:rsidRPr="00E118C3">
              <w:rPr>
                <w:rFonts w:ascii="Times New Roman" w:eastAsia="Times New Roman" w:hAnsi="Times New Roman" w:cs="Times New Roman"/>
                <w:lang w:val="lv-LV"/>
              </w:rPr>
              <w:t>for</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relevant MTU </w:t>
            </w:r>
            <w:proofErr w:type="spellStart"/>
            <w:r w:rsidRPr="00E118C3">
              <w:rPr>
                <w:rFonts w:ascii="Times New Roman" w:eastAsia="Times New Roman" w:hAnsi="Times New Roman" w:cs="Times New Roman"/>
                <w:lang w:val="lv-LV"/>
              </w:rPr>
              <w:t>and</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direction</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as</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determined</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by</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PICASSO AOF </w:t>
            </w:r>
            <w:proofErr w:type="spellStart"/>
            <w:r w:rsidRPr="00E118C3">
              <w:rPr>
                <w:rFonts w:ascii="Times New Roman" w:eastAsia="Times New Roman" w:hAnsi="Times New Roman" w:cs="Times New Roman"/>
                <w:lang w:val="lv-LV"/>
              </w:rPr>
              <w:t>in</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accordance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with</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pricing</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methodology</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under</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the</w:t>
            </w:r>
            <w:proofErr w:type="spellEnd"/>
            <w:r w:rsidRPr="00E118C3">
              <w:rPr>
                <w:rFonts w:ascii="Times New Roman" w:eastAsia="Times New Roman" w:hAnsi="Times New Roman" w:cs="Times New Roman"/>
                <w:lang w:val="lv-LV"/>
              </w:rPr>
              <w:t xml:space="preserve"> </w:t>
            </w:r>
            <w:proofErr w:type="spellStart"/>
            <w:r w:rsidRPr="00E118C3">
              <w:rPr>
                <w:rFonts w:ascii="Times New Roman" w:eastAsia="Times New Roman" w:hAnsi="Times New Roman" w:cs="Times New Roman"/>
                <w:lang w:val="lv-LV"/>
              </w:rPr>
              <w:t>aFRR</w:t>
            </w:r>
            <w:proofErr w:type="spellEnd"/>
            <w:r w:rsidRPr="00E118C3">
              <w:rPr>
                <w:rFonts w:ascii="Times New Roman" w:eastAsia="Times New Roman" w:hAnsi="Times New Roman" w:cs="Times New Roman"/>
                <w:lang w:val="lv-LV"/>
              </w:rPr>
              <w:t xml:space="preserve"> IF.  </w:t>
            </w:r>
          </w:p>
        </w:tc>
        <w:tc>
          <w:tcPr>
            <w:tcW w:w="3760" w:type="dxa"/>
          </w:tcPr>
          <w:p w14:paraId="305450D1" w14:textId="37806FA1" w:rsidR="00422A2A"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t>LMP lejupvērstām</w:t>
            </w:r>
            <w:r>
              <w:rPr>
                <w:rFonts w:ascii="Times New Roman" w:hAnsi="Times New Roman" w:cs="Times New Roman"/>
                <w:sz w:val="24"/>
                <w:szCs w:val="24"/>
              </w:rPr>
              <w:t xml:space="preserve"> aktivizācijām</w:t>
            </w:r>
            <w:r w:rsidRPr="00941DA8">
              <w:rPr>
                <w:rFonts w:ascii="Times New Roman" w:hAnsi="Times New Roman" w:cs="Times New Roman"/>
                <w:sz w:val="24"/>
                <w:szCs w:val="24"/>
              </w:rPr>
              <w:t xml:space="preserve"> nosaka pēc vislētākā</w:t>
            </w:r>
            <w:r>
              <w:rPr>
                <w:rFonts w:ascii="Times New Roman" w:hAnsi="Times New Roman" w:cs="Times New Roman"/>
                <w:sz w:val="24"/>
                <w:szCs w:val="24"/>
              </w:rPr>
              <w:t xml:space="preserve"> </w:t>
            </w:r>
            <w:r w:rsidRPr="00941DA8">
              <w:rPr>
                <w:rFonts w:ascii="Times New Roman" w:hAnsi="Times New Roman" w:cs="Times New Roman"/>
                <w:sz w:val="24"/>
                <w:szCs w:val="24"/>
              </w:rPr>
              <w:t>lokāli aktivizētā lejupvērstā regulēšanas produkta solījuma cen</w:t>
            </w:r>
            <w:r>
              <w:rPr>
                <w:rFonts w:ascii="Times New Roman" w:hAnsi="Times New Roman" w:cs="Times New Roman"/>
                <w:sz w:val="24"/>
                <w:szCs w:val="24"/>
              </w:rPr>
              <w:t>u</w:t>
            </w:r>
            <w:r w:rsidRPr="00941DA8">
              <w:rPr>
                <w:rFonts w:ascii="Times New Roman" w:hAnsi="Times New Roman" w:cs="Times New Roman"/>
                <w:sz w:val="24"/>
                <w:szCs w:val="24"/>
              </w:rPr>
              <w:t>, un tā n</w:t>
            </w:r>
            <w:r>
              <w:rPr>
                <w:rFonts w:ascii="Times New Roman" w:hAnsi="Times New Roman" w:cs="Times New Roman"/>
                <w:sz w:val="24"/>
                <w:szCs w:val="24"/>
              </w:rPr>
              <w:t>av</w:t>
            </w:r>
            <w:r w:rsidRPr="00941DA8">
              <w:rPr>
                <w:rFonts w:ascii="Times New Roman" w:hAnsi="Times New Roman" w:cs="Times New Roman"/>
                <w:sz w:val="24"/>
                <w:szCs w:val="24"/>
              </w:rPr>
              <w:t xml:space="preserve"> augstāka par attiecīg</w:t>
            </w:r>
            <w:r>
              <w:rPr>
                <w:rFonts w:ascii="Times New Roman" w:hAnsi="Times New Roman" w:cs="Times New Roman"/>
                <w:sz w:val="24"/>
                <w:szCs w:val="24"/>
              </w:rPr>
              <w:t>ā</w:t>
            </w:r>
            <w:r w:rsidRPr="00941DA8">
              <w:rPr>
                <w:rFonts w:ascii="Times New Roman" w:hAnsi="Times New Roman" w:cs="Times New Roman"/>
                <w:sz w:val="24"/>
                <w:szCs w:val="24"/>
              </w:rPr>
              <w:t xml:space="preserve"> MTU un virziena</w:t>
            </w:r>
            <w:r>
              <w:rPr>
                <w:rFonts w:ascii="Times New Roman" w:hAnsi="Times New Roman" w:cs="Times New Roman"/>
                <w:sz w:val="24"/>
                <w:szCs w:val="24"/>
              </w:rPr>
              <w:t xml:space="preserve"> CBMP, kas noteikta PICASSO AOF darbības rezultātā saskaņā ar cenu noteikšanas metodiku, atbilstoši </w:t>
            </w: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IF.  </w:t>
            </w:r>
          </w:p>
        </w:tc>
      </w:tr>
      <w:tr w:rsidR="00F527BD" w14:paraId="2CEA8DC3" w14:textId="77777777" w:rsidTr="00F527BD">
        <w:trPr>
          <w:trHeight w:val="1760"/>
        </w:trPr>
        <w:tc>
          <w:tcPr>
            <w:tcW w:w="1276" w:type="dxa"/>
          </w:tcPr>
          <w:p w14:paraId="732D02BA" w14:textId="77777777" w:rsidR="00422A2A" w:rsidRPr="00013652" w:rsidRDefault="00422A2A" w:rsidP="00013652">
            <w:pPr>
              <w:pStyle w:val="Caption"/>
              <w:numPr>
                <w:ilvl w:val="1"/>
                <w:numId w:val="48"/>
              </w:numPr>
              <w:spacing w:before="0"/>
              <w:rPr>
                <w:rFonts w:ascii="Times New Roman" w:eastAsia="Times New Roman" w:hAnsi="Times New Roman" w:cs="Times New Roman"/>
                <w:lang w:val="lv-LV"/>
              </w:rPr>
            </w:pPr>
          </w:p>
        </w:tc>
        <w:tc>
          <w:tcPr>
            <w:tcW w:w="3890" w:type="dxa"/>
          </w:tcPr>
          <w:p w14:paraId="66E1C206" w14:textId="4C4A49C5" w:rsidR="00422A2A" w:rsidRPr="00941DA8" w:rsidRDefault="00422A2A" w:rsidP="00013652">
            <w:pPr>
              <w:jc w:val="both"/>
              <w:rPr>
                <w:lang w:val="en-US"/>
              </w:rPr>
            </w:pPr>
            <w:r w:rsidRPr="00941DA8">
              <w:rPr>
                <w:rFonts w:ascii="Times New Roman" w:eastAsia="Times New Roman" w:hAnsi="Times New Roman" w:cs="Times New Roman"/>
                <w:sz w:val="24"/>
                <w:szCs w:val="24"/>
                <w:lang w:val="en-US"/>
              </w:rPr>
              <w:t>The pr</w:t>
            </w:r>
            <w:r w:rsidRPr="00941DA8">
              <w:rPr>
                <w:rFonts w:ascii="Times New Roman" w:hAnsi="Times New Roman" w:cs="Times New Roman"/>
                <w:sz w:val="24"/>
                <w:szCs w:val="24"/>
                <w:lang w:val="en-US"/>
              </w:rPr>
              <w:t xml:space="preserve">icing of </w:t>
            </w:r>
            <w:proofErr w:type="spellStart"/>
            <w:r w:rsidRPr="00941DA8">
              <w:rPr>
                <w:rFonts w:ascii="Times New Roman" w:hAnsi="Times New Roman" w:cs="Times New Roman"/>
                <w:sz w:val="24"/>
                <w:szCs w:val="24"/>
                <w:lang w:val="en-US"/>
              </w:rPr>
              <w:t>mFRR</w:t>
            </w:r>
            <w:proofErr w:type="spellEnd"/>
            <w:r w:rsidRPr="00941DA8">
              <w:rPr>
                <w:rFonts w:ascii="Times New Roman" w:hAnsi="Times New Roman" w:cs="Times New Roman"/>
                <w:sz w:val="24"/>
                <w:szCs w:val="24"/>
                <w:lang w:val="en-US"/>
              </w:rPr>
              <w:t xml:space="preserve"> standard product energy bids for normal local activation shall be based on LMP, considering mentioned:  </w:t>
            </w:r>
          </w:p>
        </w:tc>
        <w:tc>
          <w:tcPr>
            <w:tcW w:w="3760" w:type="dxa"/>
          </w:tcPr>
          <w:p w14:paraId="7DDD469A" w14:textId="57FAE4ED" w:rsidR="00422A2A" w:rsidRPr="00941DA8" w:rsidRDefault="00422A2A" w:rsidP="005A43AF">
            <w:pPr>
              <w:jc w:val="both"/>
              <w:rPr>
                <w:rFonts w:ascii="Times New Roman" w:hAnsi="Times New Roman" w:cs="Times New Roman"/>
                <w:sz w:val="24"/>
                <w:szCs w:val="24"/>
              </w:rPr>
            </w:pP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regulēšanas produkta solījumiem, kas aktivizēti normāli lokāli izmanto LMP, ievērojot sekojošo:</w:t>
            </w:r>
          </w:p>
        </w:tc>
      </w:tr>
      <w:tr w:rsidR="00F527BD" w14:paraId="277473E7" w14:textId="77777777" w:rsidTr="00F527BD">
        <w:trPr>
          <w:trHeight w:val="1758"/>
        </w:trPr>
        <w:tc>
          <w:tcPr>
            <w:tcW w:w="1276" w:type="dxa"/>
          </w:tcPr>
          <w:p w14:paraId="31838BF4" w14:textId="77777777" w:rsidR="00422A2A" w:rsidRPr="0030041C" w:rsidRDefault="00422A2A" w:rsidP="00013652">
            <w:pPr>
              <w:pStyle w:val="Caption"/>
              <w:numPr>
                <w:ilvl w:val="2"/>
                <w:numId w:val="48"/>
              </w:numPr>
              <w:spacing w:before="0"/>
              <w:rPr>
                <w:rFonts w:ascii="Times New Roman" w:eastAsia="Times New Roman" w:hAnsi="Times New Roman" w:cs="Times New Roman"/>
                <w:lang w:val="lv-LV"/>
              </w:rPr>
            </w:pPr>
          </w:p>
        </w:tc>
        <w:tc>
          <w:tcPr>
            <w:tcW w:w="3890" w:type="dxa"/>
          </w:tcPr>
          <w:p w14:paraId="5D61C3ED" w14:textId="20CE9DAC" w:rsidR="00422A2A" w:rsidRDefault="00422A2A" w:rsidP="00013652">
            <w:pPr>
              <w:pStyle w:val="Caption"/>
              <w:spacing w:before="0"/>
              <w:rPr>
                <w:rFonts w:ascii="Times New Roman" w:eastAsia="Times New Roman" w:hAnsi="Times New Roman" w:cs="Times New Roman"/>
                <w:lang w:val="en-US"/>
              </w:rPr>
            </w:pP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LMP </w:t>
            </w:r>
            <w:proofErr w:type="spellStart"/>
            <w:r w:rsidRPr="0030041C">
              <w:rPr>
                <w:rFonts w:ascii="Times New Roman" w:eastAsia="Times New Roman" w:hAnsi="Times New Roman" w:cs="Times New Roman"/>
                <w:lang w:val="lv-LV"/>
              </w:rPr>
              <w:t>for</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upward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activations</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shall</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be</w:t>
            </w:r>
            <w:proofErr w:type="spellEnd"/>
            <w:r w:rsidRPr="0030041C">
              <w:rPr>
                <w:rFonts w:ascii="Times New Roman" w:eastAsia="Times New Roman" w:hAnsi="Times New Roman" w:cs="Times New Roman"/>
                <w:lang w:val="lv-LV"/>
              </w:rPr>
              <w:t xml:space="preserve"> set </w:t>
            </w:r>
            <w:proofErr w:type="spellStart"/>
            <w:r w:rsidRPr="0030041C">
              <w:rPr>
                <w:rFonts w:ascii="Times New Roman" w:eastAsia="Times New Roman" w:hAnsi="Times New Roman" w:cs="Times New Roman"/>
                <w:lang w:val="lv-LV"/>
              </w:rPr>
              <w:t>at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bid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price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of</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most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expensive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locally</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activated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upward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regulation</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product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and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shall</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not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lower</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than</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any</w:t>
            </w:r>
            <w:proofErr w:type="spellEnd"/>
            <w:r w:rsidRPr="0030041C">
              <w:rPr>
                <w:rFonts w:ascii="Times New Roman" w:eastAsia="Times New Roman" w:hAnsi="Times New Roman" w:cs="Times New Roman"/>
                <w:lang w:val="lv-LV"/>
              </w:rPr>
              <w:t xml:space="preserve"> (SA, DA) CBMP </w:t>
            </w:r>
            <w:proofErr w:type="spellStart"/>
            <w:r w:rsidRPr="0030041C">
              <w:rPr>
                <w:rFonts w:ascii="Times New Roman" w:eastAsia="Times New Roman" w:hAnsi="Times New Roman" w:cs="Times New Roman"/>
                <w:lang w:val="lv-LV"/>
              </w:rPr>
              <w:t>for</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relevant MTU </w:t>
            </w:r>
            <w:proofErr w:type="spellStart"/>
            <w:r w:rsidRPr="0030041C">
              <w:rPr>
                <w:rFonts w:ascii="Times New Roman" w:eastAsia="Times New Roman" w:hAnsi="Times New Roman" w:cs="Times New Roman"/>
                <w:lang w:val="lv-LV"/>
              </w:rPr>
              <w:t>and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direction</w:t>
            </w:r>
            <w:proofErr w:type="spellEnd"/>
            <w:r w:rsidRPr="0030041C">
              <w:rPr>
                <w:rFonts w:ascii="Times New Roman" w:eastAsia="Times New Roman" w:hAnsi="Times New Roman" w:cs="Times New Roman"/>
                <w:lang w:val="lv-LV"/>
              </w:rPr>
              <w:t>.</w:t>
            </w:r>
          </w:p>
        </w:tc>
        <w:tc>
          <w:tcPr>
            <w:tcW w:w="3760" w:type="dxa"/>
          </w:tcPr>
          <w:p w14:paraId="68C45015" w14:textId="2DE31AED" w:rsidR="00422A2A" w:rsidRPr="00331738" w:rsidRDefault="00422A2A" w:rsidP="005A43AF">
            <w:pPr>
              <w:jc w:val="both"/>
              <w:rPr>
                <w:rFonts w:ascii="Times New Roman" w:hAnsi="Times New Roman" w:cs="Times New Roman"/>
                <w:sz w:val="24"/>
                <w:szCs w:val="24"/>
              </w:rPr>
            </w:pPr>
            <w:r w:rsidRPr="00331738">
              <w:rPr>
                <w:rFonts w:ascii="Times New Roman" w:hAnsi="Times New Roman" w:cs="Times New Roman"/>
                <w:sz w:val="24"/>
                <w:szCs w:val="24"/>
              </w:rPr>
              <w:t xml:space="preserve">LMP </w:t>
            </w:r>
            <w:proofErr w:type="spellStart"/>
            <w:r w:rsidRPr="00331738">
              <w:rPr>
                <w:rFonts w:ascii="Times New Roman" w:hAnsi="Times New Roman" w:cs="Times New Roman"/>
                <w:sz w:val="24"/>
                <w:szCs w:val="24"/>
              </w:rPr>
              <w:t>augšupvērstām</w:t>
            </w:r>
            <w:proofErr w:type="spellEnd"/>
            <w:r w:rsidRPr="00331738">
              <w:rPr>
                <w:rFonts w:ascii="Times New Roman" w:hAnsi="Times New Roman" w:cs="Times New Roman"/>
                <w:sz w:val="24"/>
                <w:szCs w:val="24"/>
              </w:rPr>
              <w:t xml:space="preserve"> aktivizācijām nosaka pēc visdārgākā lokāli aktivizētā </w:t>
            </w:r>
            <w:proofErr w:type="spellStart"/>
            <w:r w:rsidRPr="00331738">
              <w:rPr>
                <w:rFonts w:ascii="Times New Roman" w:hAnsi="Times New Roman" w:cs="Times New Roman"/>
                <w:sz w:val="24"/>
                <w:szCs w:val="24"/>
              </w:rPr>
              <w:t>augšupvērtā</w:t>
            </w:r>
            <w:proofErr w:type="spellEnd"/>
            <w:r w:rsidRPr="00331738">
              <w:rPr>
                <w:rFonts w:ascii="Times New Roman" w:hAnsi="Times New Roman" w:cs="Times New Roman"/>
                <w:sz w:val="24"/>
                <w:szCs w:val="24"/>
              </w:rPr>
              <w:t xml:space="preserve"> regulēšanas produkta solījuma cenas, un tā nav zemāka par jebkuru (SA, DA) CBMP attiecīgajam MTU un virzienam.</w:t>
            </w:r>
          </w:p>
          <w:p w14:paraId="0AA64367" w14:textId="50D73664" w:rsidR="00422A2A" w:rsidRDefault="00422A2A" w:rsidP="005A43AF">
            <w:pPr>
              <w:jc w:val="both"/>
              <w:rPr>
                <w:rFonts w:ascii="Times New Roman" w:hAnsi="Times New Roman" w:cs="Times New Roman"/>
                <w:sz w:val="24"/>
                <w:szCs w:val="24"/>
              </w:rPr>
            </w:pPr>
          </w:p>
        </w:tc>
      </w:tr>
      <w:tr w:rsidR="00F527BD" w14:paraId="469474DA" w14:textId="77777777" w:rsidTr="00F527BD">
        <w:trPr>
          <w:trHeight w:val="1758"/>
        </w:trPr>
        <w:tc>
          <w:tcPr>
            <w:tcW w:w="1276" w:type="dxa"/>
          </w:tcPr>
          <w:p w14:paraId="0251A0E8" w14:textId="77777777" w:rsidR="00422A2A" w:rsidRPr="0030041C" w:rsidRDefault="00422A2A" w:rsidP="00945F64">
            <w:pPr>
              <w:pStyle w:val="Caption"/>
              <w:numPr>
                <w:ilvl w:val="2"/>
                <w:numId w:val="48"/>
              </w:numPr>
              <w:spacing w:before="0"/>
              <w:rPr>
                <w:rFonts w:ascii="Times New Roman" w:eastAsia="Times New Roman" w:hAnsi="Times New Roman" w:cs="Times New Roman"/>
                <w:lang w:val="lv-LV"/>
              </w:rPr>
            </w:pPr>
          </w:p>
        </w:tc>
        <w:tc>
          <w:tcPr>
            <w:tcW w:w="3890" w:type="dxa"/>
          </w:tcPr>
          <w:p w14:paraId="398F2236" w14:textId="1E9CD986" w:rsidR="00422A2A" w:rsidRDefault="00422A2A" w:rsidP="00013652">
            <w:pPr>
              <w:pStyle w:val="Caption"/>
              <w:spacing w:before="0"/>
              <w:rPr>
                <w:rFonts w:ascii="Times New Roman" w:eastAsia="Times New Roman" w:hAnsi="Times New Roman" w:cs="Times New Roman"/>
                <w:lang w:val="en-US"/>
              </w:rPr>
            </w:pP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LMP </w:t>
            </w:r>
            <w:proofErr w:type="spellStart"/>
            <w:r w:rsidRPr="0030041C">
              <w:rPr>
                <w:rFonts w:ascii="Times New Roman" w:eastAsia="Times New Roman" w:hAnsi="Times New Roman" w:cs="Times New Roman"/>
                <w:lang w:val="lv-LV"/>
              </w:rPr>
              <w:t>for</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downwards</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activations</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shall</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determined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by</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bid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price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of</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least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expensive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locally</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activated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downwards</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balancing</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product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bid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and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shall</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not</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be</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higher</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than</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any</w:t>
            </w:r>
            <w:proofErr w:type="spellEnd"/>
            <w:r w:rsidRPr="0030041C">
              <w:rPr>
                <w:rFonts w:ascii="Times New Roman" w:eastAsia="Times New Roman" w:hAnsi="Times New Roman" w:cs="Times New Roman"/>
                <w:lang w:val="lv-LV"/>
              </w:rPr>
              <w:t xml:space="preserve"> (SA,DA) CBMP </w:t>
            </w:r>
            <w:proofErr w:type="spellStart"/>
            <w:r w:rsidRPr="0030041C">
              <w:rPr>
                <w:rFonts w:ascii="Times New Roman" w:eastAsia="Times New Roman" w:hAnsi="Times New Roman" w:cs="Times New Roman"/>
                <w:lang w:val="lv-LV"/>
              </w:rPr>
              <w:t>for</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the</w:t>
            </w:r>
            <w:proofErr w:type="spellEnd"/>
            <w:r w:rsidRPr="0030041C">
              <w:rPr>
                <w:rFonts w:ascii="Times New Roman" w:eastAsia="Times New Roman" w:hAnsi="Times New Roman" w:cs="Times New Roman"/>
                <w:lang w:val="lv-LV"/>
              </w:rPr>
              <w:t xml:space="preserve"> relevant MTU </w:t>
            </w:r>
            <w:proofErr w:type="spellStart"/>
            <w:r w:rsidRPr="0030041C">
              <w:rPr>
                <w:rFonts w:ascii="Times New Roman" w:eastAsia="Times New Roman" w:hAnsi="Times New Roman" w:cs="Times New Roman"/>
                <w:lang w:val="lv-LV"/>
              </w:rPr>
              <w:t>and</w:t>
            </w:r>
            <w:proofErr w:type="spellEnd"/>
            <w:r w:rsidRPr="0030041C">
              <w:rPr>
                <w:rFonts w:ascii="Times New Roman" w:eastAsia="Times New Roman" w:hAnsi="Times New Roman" w:cs="Times New Roman"/>
                <w:lang w:val="lv-LV"/>
              </w:rPr>
              <w:t xml:space="preserve"> </w:t>
            </w:r>
            <w:proofErr w:type="spellStart"/>
            <w:r w:rsidRPr="0030041C">
              <w:rPr>
                <w:rFonts w:ascii="Times New Roman" w:eastAsia="Times New Roman" w:hAnsi="Times New Roman" w:cs="Times New Roman"/>
                <w:lang w:val="lv-LV"/>
              </w:rPr>
              <w:t>direction</w:t>
            </w:r>
            <w:proofErr w:type="spellEnd"/>
          </w:p>
        </w:tc>
        <w:tc>
          <w:tcPr>
            <w:tcW w:w="3760" w:type="dxa"/>
          </w:tcPr>
          <w:p w14:paraId="7FCC2603" w14:textId="77777777" w:rsidR="00422A2A" w:rsidRPr="00331738" w:rsidRDefault="00422A2A" w:rsidP="005A43AF">
            <w:pPr>
              <w:jc w:val="both"/>
              <w:rPr>
                <w:rFonts w:ascii="Times New Roman" w:hAnsi="Times New Roman" w:cs="Times New Roman"/>
                <w:sz w:val="24"/>
                <w:szCs w:val="24"/>
              </w:rPr>
            </w:pPr>
            <w:r w:rsidRPr="00331738">
              <w:rPr>
                <w:rFonts w:ascii="Times New Roman" w:hAnsi="Times New Roman" w:cs="Times New Roman"/>
                <w:sz w:val="24"/>
                <w:szCs w:val="24"/>
              </w:rPr>
              <w:t>LMP lejupvērstām aktivizācijām nosaka pēc vislētākā lokāli aktivizētā lejupvērstā regulēšanas produkta solījuma cenas, un tā nedrīkst būt augstāka par jebkuru (SA,DA) CBMP attiecīgajam MTU un virzienam.</w:t>
            </w:r>
          </w:p>
          <w:p w14:paraId="43203B6C" w14:textId="35F2E7C4" w:rsidR="00422A2A" w:rsidRDefault="00422A2A" w:rsidP="005A43AF">
            <w:pPr>
              <w:jc w:val="both"/>
              <w:rPr>
                <w:rFonts w:ascii="Times New Roman" w:hAnsi="Times New Roman" w:cs="Times New Roman"/>
                <w:sz w:val="24"/>
                <w:szCs w:val="24"/>
              </w:rPr>
            </w:pPr>
          </w:p>
        </w:tc>
      </w:tr>
      <w:tr w:rsidR="00F527BD" w14:paraId="02B9F342" w14:textId="77777777" w:rsidTr="00F527BD">
        <w:trPr>
          <w:trHeight w:val="1758"/>
        </w:trPr>
        <w:tc>
          <w:tcPr>
            <w:tcW w:w="1276" w:type="dxa"/>
          </w:tcPr>
          <w:p w14:paraId="7B8827D0" w14:textId="77777777" w:rsidR="00422A2A" w:rsidRPr="00945F64" w:rsidRDefault="00422A2A" w:rsidP="00945F64">
            <w:pPr>
              <w:pStyle w:val="Caption"/>
              <w:numPr>
                <w:ilvl w:val="2"/>
                <w:numId w:val="48"/>
              </w:numPr>
              <w:spacing w:before="0"/>
              <w:rPr>
                <w:rFonts w:ascii="Times New Roman" w:eastAsia="Times New Roman" w:hAnsi="Times New Roman" w:cs="Times New Roman"/>
                <w:lang w:val="lv-LV"/>
              </w:rPr>
            </w:pPr>
          </w:p>
        </w:tc>
        <w:tc>
          <w:tcPr>
            <w:tcW w:w="3890" w:type="dxa"/>
          </w:tcPr>
          <w:p w14:paraId="4853A823" w14:textId="109692BD" w:rsidR="00422A2A" w:rsidRPr="00945F64" w:rsidRDefault="00422A2A" w:rsidP="00945F64">
            <w:pPr>
              <w:jc w:val="both"/>
              <w:rPr>
                <w:rFonts w:ascii="Times New Roman" w:eastAsia="Times New Roman" w:hAnsi="Times New Roman" w:cs="Times New Roman"/>
                <w:sz w:val="24"/>
                <w:szCs w:val="24"/>
                <w:lang w:val="en-US"/>
              </w:rPr>
            </w:pPr>
            <w:r w:rsidRPr="00945F64">
              <w:rPr>
                <w:rFonts w:ascii="Times New Roman" w:eastAsia="Times New Roman" w:hAnsi="Times New Roman" w:cs="Times New Roman"/>
                <w:sz w:val="24"/>
                <w:szCs w:val="24"/>
                <w:lang w:val="en-US"/>
              </w:rPr>
              <w:t xml:space="preserve">The LMP is equal to both the SA and the DA for a given MTU and to the fraction of the energy that was delivered in the successive MTU </w:t>
            </w:r>
            <w:proofErr w:type="gramStart"/>
            <w:r w:rsidRPr="00945F64">
              <w:rPr>
                <w:rFonts w:ascii="Times New Roman" w:eastAsia="Times New Roman" w:hAnsi="Times New Roman" w:cs="Times New Roman"/>
                <w:sz w:val="24"/>
                <w:szCs w:val="24"/>
                <w:lang w:val="en-US"/>
              </w:rPr>
              <w:t>as a result of</w:t>
            </w:r>
            <w:proofErr w:type="gramEnd"/>
            <w:r w:rsidRPr="00945F64">
              <w:rPr>
                <w:rFonts w:ascii="Times New Roman" w:eastAsia="Times New Roman" w:hAnsi="Times New Roman" w:cs="Times New Roman"/>
                <w:sz w:val="24"/>
                <w:szCs w:val="24"/>
                <w:lang w:val="en-US"/>
              </w:rPr>
              <w:t xml:space="preserve"> the DA.</w:t>
            </w:r>
          </w:p>
        </w:tc>
        <w:tc>
          <w:tcPr>
            <w:tcW w:w="3760" w:type="dxa"/>
          </w:tcPr>
          <w:p w14:paraId="4C66117E" w14:textId="102C9B50" w:rsidR="00422A2A" w:rsidRDefault="00422A2A" w:rsidP="005A43AF">
            <w:pPr>
              <w:jc w:val="both"/>
              <w:rPr>
                <w:rFonts w:ascii="Times New Roman" w:hAnsi="Times New Roman" w:cs="Times New Roman"/>
                <w:sz w:val="24"/>
                <w:szCs w:val="24"/>
              </w:rPr>
            </w:pPr>
            <w:r w:rsidRPr="00331738">
              <w:rPr>
                <w:rFonts w:ascii="Times New Roman" w:hAnsi="Times New Roman" w:cs="Times New Roman"/>
                <w:sz w:val="24"/>
                <w:szCs w:val="24"/>
              </w:rPr>
              <w:t>LMP ir vienāda gan SA, gan DA attiecīgajā MTU un ar daļu no enerģijas, kas tika piegādāta secīgajā MTU DA rezultātā.</w:t>
            </w:r>
          </w:p>
        </w:tc>
      </w:tr>
      <w:tr w:rsidR="00F527BD" w14:paraId="106E7A6E" w14:textId="77777777" w:rsidTr="00F527BD">
        <w:tc>
          <w:tcPr>
            <w:tcW w:w="1276" w:type="dxa"/>
          </w:tcPr>
          <w:p w14:paraId="230D3D2E" w14:textId="77777777" w:rsidR="00422A2A" w:rsidRPr="0030041C" w:rsidRDefault="00422A2A" w:rsidP="00945F64">
            <w:pPr>
              <w:pStyle w:val="Caption"/>
              <w:numPr>
                <w:ilvl w:val="1"/>
                <w:numId w:val="48"/>
              </w:numPr>
              <w:spacing w:before="0"/>
              <w:rPr>
                <w:rFonts w:ascii="Times New Roman" w:eastAsia="Times New Roman" w:hAnsi="Times New Roman" w:cs="Times New Roman"/>
                <w:lang w:val="en-US"/>
              </w:rPr>
            </w:pPr>
          </w:p>
        </w:tc>
        <w:tc>
          <w:tcPr>
            <w:tcW w:w="3890" w:type="dxa"/>
          </w:tcPr>
          <w:p w14:paraId="7FF0C950" w14:textId="316C4E86" w:rsidR="00422A2A" w:rsidRPr="00945F64" w:rsidRDefault="00422A2A" w:rsidP="00945F64">
            <w:pPr>
              <w:jc w:val="both"/>
              <w:rPr>
                <w:rFonts w:ascii="Times New Roman" w:eastAsia="Times New Roman" w:hAnsi="Times New Roman" w:cs="Times New Roman"/>
                <w:sz w:val="24"/>
                <w:szCs w:val="24"/>
                <w:lang w:val="en-US"/>
              </w:rPr>
            </w:pPr>
            <w:r w:rsidRPr="00945F64">
              <w:rPr>
                <w:rFonts w:ascii="Times New Roman" w:eastAsia="Times New Roman" w:hAnsi="Times New Roman" w:cs="Times New Roman"/>
                <w:sz w:val="24"/>
                <w:szCs w:val="24"/>
                <w:lang w:val="en-US"/>
              </w:rPr>
              <w:t xml:space="preserve">The pricing of all bids for special activation shall be based on pay-as-bid principle. </w:t>
            </w:r>
          </w:p>
          <w:p w14:paraId="7681EE60" w14:textId="77777777" w:rsidR="00422A2A" w:rsidRDefault="00422A2A" w:rsidP="005A43AF">
            <w:pPr>
              <w:ind w:left="32"/>
              <w:jc w:val="both"/>
              <w:rPr>
                <w:rFonts w:ascii="Times New Roman" w:eastAsia="Times New Roman" w:hAnsi="Times New Roman" w:cs="Times New Roman"/>
                <w:sz w:val="24"/>
                <w:szCs w:val="24"/>
                <w:lang w:val="en-US"/>
              </w:rPr>
            </w:pPr>
          </w:p>
        </w:tc>
        <w:tc>
          <w:tcPr>
            <w:tcW w:w="3760" w:type="dxa"/>
          </w:tcPr>
          <w:p w14:paraId="71A2DFBE" w14:textId="30CDAE0C" w:rsidR="00422A2A" w:rsidRDefault="00422A2A" w:rsidP="005A43AF">
            <w:pPr>
              <w:jc w:val="both"/>
              <w:rPr>
                <w:rFonts w:ascii="Times New Roman" w:hAnsi="Times New Roman" w:cs="Times New Roman"/>
                <w:sz w:val="24"/>
                <w:szCs w:val="24"/>
              </w:rPr>
            </w:pPr>
            <w:r w:rsidRPr="005B3B26">
              <w:rPr>
                <w:rFonts w:ascii="Times New Roman" w:hAnsi="Times New Roman" w:cs="Times New Roman"/>
                <w:sz w:val="24"/>
                <w:szCs w:val="24"/>
              </w:rPr>
              <w:t>Speciāli aktivizēto regulēšanas produktu solījumu cenu nosaka pēc solījumā norādītās cenas (solījuma cenas princips).</w:t>
            </w:r>
          </w:p>
        </w:tc>
      </w:tr>
      <w:tr w:rsidR="00F527BD" w14:paraId="5582D98D" w14:textId="77777777" w:rsidTr="00F527BD">
        <w:trPr>
          <w:trHeight w:val="1760"/>
        </w:trPr>
        <w:tc>
          <w:tcPr>
            <w:tcW w:w="1276" w:type="dxa"/>
          </w:tcPr>
          <w:p w14:paraId="281C0104" w14:textId="77777777" w:rsidR="00422A2A" w:rsidRPr="000E17EB" w:rsidRDefault="00422A2A" w:rsidP="00945F64">
            <w:pPr>
              <w:pStyle w:val="Caption"/>
              <w:numPr>
                <w:ilvl w:val="1"/>
                <w:numId w:val="48"/>
              </w:numPr>
              <w:spacing w:before="0"/>
              <w:rPr>
                <w:lang w:val="en-US"/>
              </w:rPr>
            </w:pPr>
          </w:p>
        </w:tc>
        <w:tc>
          <w:tcPr>
            <w:tcW w:w="3890" w:type="dxa"/>
          </w:tcPr>
          <w:p w14:paraId="3D4D4995" w14:textId="6D9FB14D" w:rsidR="00422A2A" w:rsidRPr="0030041C" w:rsidRDefault="00422A2A" w:rsidP="00945F64">
            <w:pPr>
              <w:pStyle w:val="Bullet01"/>
              <w:numPr>
                <w:ilvl w:val="0"/>
                <w:numId w:val="0"/>
              </w:numPr>
              <w:spacing w:before="0" w:beforeAutospacing="0" w:line="240" w:lineRule="auto"/>
              <w:ind w:left="29"/>
              <w:rPr>
                <w:lang w:val="en-US"/>
              </w:rPr>
            </w:pPr>
            <w:r w:rsidRPr="000E17EB">
              <w:rPr>
                <w:lang w:val="en-US"/>
              </w:rPr>
              <w:t xml:space="preserve">In case the TSO has not made an activation request MARI within the ISP and has not made a normal local activation and has not made an activation request PICASSO, the </w:t>
            </w:r>
            <w:r>
              <w:rPr>
                <w:lang w:val="en-US"/>
              </w:rPr>
              <w:t>balancing</w:t>
            </w:r>
            <w:r w:rsidRPr="000E17EB">
              <w:rPr>
                <w:lang w:val="en-US"/>
              </w:rPr>
              <w:t xml:space="preserve"> </w:t>
            </w:r>
            <w:r>
              <w:rPr>
                <w:lang w:val="en-US"/>
              </w:rPr>
              <w:t>reference price</w:t>
            </w:r>
            <w:r w:rsidRPr="000E17EB">
              <w:rPr>
                <w:lang w:val="en-US"/>
              </w:rPr>
              <w:t xml:space="preserve"> is determined as the value of the saved activation:</w:t>
            </w:r>
          </w:p>
        </w:tc>
        <w:tc>
          <w:tcPr>
            <w:tcW w:w="3760" w:type="dxa"/>
          </w:tcPr>
          <w:p w14:paraId="3CE9C9B6" w14:textId="14F15520" w:rsidR="00422A2A" w:rsidRPr="005B3B26" w:rsidRDefault="00422A2A" w:rsidP="005A43AF">
            <w:pPr>
              <w:jc w:val="both"/>
              <w:rPr>
                <w:rFonts w:ascii="Times New Roman" w:hAnsi="Times New Roman" w:cs="Times New Roman"/>
                <w:sz w:val="24"/>
                <w:szCs w:val="24"/>
              </w:rPr>
            </w:pPr>
            <w:r w:rsidRPr="005B3B26">
              <w:rPr>
                <w:rFonts w:ascii="Times New Roman" w:hAnsi="Times New Roman" w:cs="Times New Roman"/>
                <w:sz w:val="24"/>
                <w:szCs w:val="24"/>
              </w:rPr>
              <w:t>Gadījumā, ja ISP ietvaros PSO nav veicis aktivizācijas pieprasījumu MARI</w:t>
            </w:r>
            <w:r>
              <w:rPr>
                <w:rFonts w:ascii="Times New Roman" w:hAnsi="Times New Roman" w:cs="Times New Roman"/>
                <w:sz w:val="24"/>
                <w:szCs w:val="24"/>
              </w:rPr>
              <w:t>,</w:t>
            </w:r>
            <w:r w:rsidRPr="005B3B26">
              <w:rPr>
                <w:rFonts w:ascii="Times New Roman" w:hAnsi="Times New Roman" w:cs="Times New Roman"/>
                <w:sz w:val="24"/>
                <w:szCs w:val="24"/>
              </w:rPr>
              <w:t xml:space="preserve"> nav veiktas normālās lokālās aktivizācijas</w:t>
            </w:r>
            <w:r>
              <w:rPr>
                <w:rFonts w:ascii="Times New Roman" w:hAnsi="Times New Roman" w:cs="Times New Roman"/>
                <w:sz w:val="24"/>
                <w:szCs w:val="24"/>
              </w:rPr>
              <w:t xml:space="preserve"> un nav veicis aktivizācijas pieprasījumu PICASSO</w:t>
            </w:r>
            <w:r w:rsidRPr="005B3B26">
              <w:rPr>
                <w:rFonts w:ascii="Times New Roman" w:hAnsi="Times New Roman" w:cs="Times New Roman"/>
                <w:sz w:val="24"/>
                <w:szCs w:val="24"/>
              </w:rPr>
              <w:t xml:space="preserve"> </w:t>
            </w:r>
            <w:r>
              <w:rPr>
                <w:rFonts w:ascii="Times New Roman" w:hAnsi="Times New Roman" w:cs="Times New Roman"/>
                <w:sz w:val="24"/>
                <w:szCs w:val="24"/>
              </w:rPr>
              <w:t>regulēšanas elektroenerģijas cena</w:t>
            </w:r>
            <w:r w:rsidRPr="005B3B26">
              <w:rPr>
                <w:rFonts w:ascii="Times New Roman" w:hAnsi="Times New Roman" w:cs="Times New Roman"/>
                <w:sz w:val="24"/>
                <w:szCs w:val="24"/>
              </w:rPr>
              <w:t xml:space="preserve"> tiek noteikta kā ietaupītās aktivizācijas vērtība</w:t>
            </w:r>
            <w:r>
              <w:rPr>
                <w:rFonts w:ascii="Times New Roman" w:hAnsi="Times New Roman" w:cs="Times New Roman"/>
                <w:sz w:val="24"/>
                <w:szCs w:val="24"/>
              </w:rPr>
              <w:t>:</w:t>
            </w:r>
            <w:r w:rsidRPr="005B3B26">
              <w:rPr>
                <w:rFonts w:ascii="Times New Roman" w:hAnsi="Times New Roman" w:cs="Times New Roman"/>
                <w:sz w:val="24"/>
                <w:szCs w:val="24"/>
              </w:rPr>
              <w:t xml:space="preserve"> </w:t>
            </w:r>
          </w:p>
          <w:p w14:paraId="590CA781" w14:textId="66AAC60B" w:rsidR="00422A2A" w:rsidRPr="005B3B26" w:rsidRDefault="00422A2A" w:rsidP="005A43AF">
            <w:pPr>
              <w:jc w:val="both"/>
              <w:rPr>
                <w:rFonts w:ascii="Times New Roman" w:hAnsi="Times New Roman" w:cs="Times New Roman"/>
                <w:sz w:val="24"/>
                <w:szCs w:val="24"/>
              </w:rPr>
            </w:pPr>
          </w:p>
        </w:tc>
      </w:tr>
      <w:tr w:rsidR="00F527BD" w14:paraId="6BC5CBC9" w14:textId="77777777" w:rsidTr="00F527BD">
        <w:trPr>
          <w:trHeight w:val="1758"/>
        </w:trPr>
        <w:tc>
          <w:tcPr>
            <w:tcW w:w="1276" w:type="dxa"/>
          </w:tcPr>
          <w:p w14:paraId="5648501E" w14:textId="5ED4DBC7" w:rsidR="00422A2A" w:rsidRPr="00BE2166" w:rsidRDefault="00422A2A" w:rsidP="00945F64">
            <w:pPr>
              <w:pStyle w:val="Caption"/>
              <w:numPr>
                <w:ilvl w:val="2"/>
                <w:numId w:val="48"/>
              </w:numPr>
              <w:spacing w:before="0"/>
              <w:rPr>
                <w:lang w:val="en-US"/>
              </w:rPr>
            </w:pPr>
          </w:p>
        </w:tc>
        <w:tc>
          <w:tcPr>
            <w:tcW w:w="3890" w:type="dxa"/>
          </w:tcPr>
          <w:p w14:paraId="4C830E67" w14:textId="555FC653" w:rsidR="00422A2A" w:rsidDel="00CA45FC" w:rsidRDefault="00422A2A" w:rsidP="00945F64">
            <w:pPr>
              <w:pStyle w:val="Bullet01"/>
              <w:numPr>
                <w:ilvl w:val="0"/>
                <w:numId w:val="0"/>
              </w:numPr>
              <w:spacing w:before="0" w:beforeAutospacing="0" w:line="240" w:lineRule="auto"/>
              <w:ind w:left="170"/>
              <w:rPr>
                <w:lang w:val="en-US"/>
              </w:rPr>
            </w:pPr>
            <w:r w:rsidRPr="00BE2166">
              <w:rPr>
                <w:lang w:val="en-US"/>
              </w:rPr>
              <w:t xml:space="preserve">The value of the saved activation for the upwards direction shall be determined as the lowest price of the </w:t>
            </w:r>
            <w:proofErr w:type="spellStart"/>
            <w:r w:rsidRPr="00BE2166">
              <w:rPr>
                <w:lang w:val="en-US"/>
              </w:rPr>
              <w:t>aFRR</w:t>
            </w:r>
            <w:proofErr w:type="spellEnd"/>
            <w:r w:rsidRPr="00BE2166">
              <w:rPr>
                <w:lang w:val="en-US"/>
              </w:rPr>
              <w:t xml:space="preserve"> and </w:t>
            </w:r>
            <w:proofErr w:type="spellStart"/>
            <w:r w:rsidRPr="00BE2166">
              <w:rPr>
                <w:lang w:val="en-US"/>
              </w:rPr>
              <w:t>mFRR</w:t>
            </w:r>
            <w:proofErr w:type="spellEnd"/>
            <w:r w:rsidRPr="00BE2166">
              <w:rPr>
                <w:lang w:val="en-US"/>
              </w:rPr>
              <w:t xml:space="preserve"> bids </w:t>
            </w:r>
            <w:r>
              <w:rPr>
                <w:lang w:val="en-US"/>
              </w:rPr>
              <w:t xml:space="preserve">for </w:t>
            </w:r>
            <w:r w:rsidRPr="00BE2166">
              <w:rPr>
                <w:lang w:val="en-US"/>
              </w:rPr>
              <w:t>upwards balancing in the relevant ISP</w:t>
            </w:r>
            <w:r>
              <w:rPr>
                <w:lang w:val="en-US"/>
              </w:rPr>
              <w:t>;</w:t>
            </w:r>
          </w:p>
        </w:tc>
        <w:tc>
          <w:tcPr>
            <w:tcW w:w="3760" w:type="dxa"/>
          </w:tcPr>
          <w:p w14:paraId="5ACC542B" w14:textId="1F7D9A35" w:rsidR="00422A2A" w:rsidRPr="005B3B26" w:rsidRDefault="00422A2A" w:rsidP="005A43AF">
            <w:pPr>
              <w:ind w:hanging="5"/>
              <w:jc w:val="both"/>
              <w:rPr>
                <w:rFonts w:ascii="Times New Roman" w:hAnsi="Times New Roman" w:cs="Times New Roman"/>
                <w:sz w:val="24"/>
                <w:szCs w:val="24"/>
              </w:rPr>
            </w:pPr>
            <w:r w:rsidRPr="005B3B26">
              <w:rPr>
                <w:rFonts w:ascii="Times New Roman" w:hAnsi="Times New Roman" w:cs="Times New Roman"/>
                <w:sz w:val="24"/>
                <w:szCs w:val="24"/>
              </w:rPr>
              <w:t xml:space="preserve">Ietaupītās aktivizācijas vērtību </w:t>
            </w:r>
            <w:proofErr w:type="spellStart"/>
            <w:r w:rsidRPr="005B3B26">
              <w:rPr>
                <w:rFonts w:ascii="Times New Roman" w:hAnsi="Times New Roman" w:cs="Times New Roman"/>
                <w:sz w:val="24"/>
                <w:szCs w:val="24"/>
              </w:rPr>
              <w:t>augšupvērstam</w:t>
            </w:r>
            <w:proofErr w:type="spellEnd"/>
            <w:r w:rsidRPr="005B3B26">
              <w:rPr>
                <w:rFonts w:ascii="Times New Roman" w:hAnsi="Times New Roman" w:cs="Times New Roman"/>
                <w:sz w:val="24"/>
                <w:szCs w:val="24"/>
              </w:rPr>
              <w:t xml:space="preserve"> virzienam </w:t>
            </w:r>
            <w:r>
              <w:rPr>
                <w:rFonts w:ascii="Times New Roman" w:hAnsi="Times New Roman" w:cs="Times New Roman"/>
                <w:sz w:val="24"/>
                <w:szCs w:val="24"/>
              </w:rPr>
              <w:t>nosaka</w:t>
            </w:r>
            <w:r w:rsidRPr="005B3B26">
              <w:rPr>
                <w:rFonts w:ascii="Times New Roman" w:hAnsi="Times New Roman" w:cs="Times New Roman"/>
                <w:sz w:val="24"/>
                <w:szCs w:val="24"/>
              </w:rPr>
              <w:t xml:space="preserve"> kā </w:t>
            </w:r>
            <w:proofErr w:type="spellStart"/>
            <w:r>
              <w:rPr>
                <w:rFonts w:ascii="Times New Roman" w:hAnsi="Times New Roman" w:cs="Times New Roman"/>
                <w:sz w:val="24"/>
                <w:szCs w:val="24"/>
              </w:rPr>
              <w:t>augšupvērstas</w:t>
            </w:r>
            <w:proofErr w:type="spellEnd"/>
            <w:r>
              <w:rPr>
                <w:rFonts w:ascii="Times New Roman" w:hAnsi="Times New Roman" w:cs="Times New Roman"/>
                <w:sz w:val="24"/>
                <w:szCs w:val="24"/>
              </w:rPr>
              <w:t xml:space="preserve"> regulēšanas </w:t>
            </w: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mFRR</w:t>
            </w:r>
            <w:proofErr w:type="spellEnd"/>
            <w:r>
              <w:rPr>
                <w:rFonts w:ascii="Times New Roman" w:hAnsi="Times New Roman" w:cs="Times New Roman"/>
                <w:sz w:val="24"/>
                <w:szCs w:val="24"/>
              </w:rPr>
              <w:t xml:space="preserve"> solījumu zemāko cenu attiecīgajā ISP;</w:t>
            </w:r>
            <w:r w:rsidRPr="005B3B26">
              <w:rPr>
                <w:rFonts w:ascii="Times New Roman" w:hAnsi="Times New Roman" w:cs="Times New Roman"/>
                <w:sz w:val="24"/>
                <w:szCs w:val="24"/>
              </w:rPr>
              <w:t xml:space="preserve"> </w:t>
            </w:r>
          </w:p>
        </w:tc>
      </w:tr>
      <w:tr w:rsidR="00F527BD" w14:paraId="5FC7FED7" w14:textId="77777777" w:rsidTr="00F527BD">
        <w:trPr>
          <w:trHeight w:val="1758"/>
        </w:trPr>
        <w:tc>
          <w:tcPr>
            <w:tcW w:w="1276" w:type="dxa"/>
          </w:tcPr>
          <w:p w14:paraId="56F23A19" w14:textId="77777777" w:rsidR="00422A2A" w:rsidRPr="0052398E" w:rsidRDefault="00422A2A" w:rsidP="00945F64">
            <w:pPr>
              <w:pStyle w:val="Caption"/>
              <w:numPr>
                <w:ilvl w:val="2"/>
                <w:numId w:val="48"/>
              </w:numPr>
              <w:spacing w:before="0"/>
              <w:rPr>
                <w:lang w:val="en-US"/>
              </w:rPr>
            </w:pPr>
          </w:p>
        </w:tc>
        <w:tc>
          <w:tcPr>
            <w:tcW w:w="3890" w:type="dxa"/>
          </w:tcPr>
          <w:p w14:paraId="1E27D9E1" w14:textId="2F36734E" w:rsidR="00422A2A" w:rsidDel="00CA45FC" w:rsidRDefault="00422A2A" w:rsidP="00945F64">
            <w:pPr>
              <w:pStyle w:val="Bullet01"/>
              <w:numPr>
                <w:ilvl w:val="0"/>
                <w:numId w:val="0"/>
              </w:numPr>
              <w:spacing w:before="0" w:beforeAutospacing="0" w:line="240" w:lineRule="auto"/>
              <w:ind w:left="170"/>
              <w:rPr>
                <w:lang w:val="en-US"/>
              </w:rPr>
            </w:pPr>
            <w:r w:rsidRPr="0052398E">
              <w:rPr>
                <w:lang w:val="en-US"/>
              </w:rPr>
              <w:t xml:space="preserve">The value of the saved activation for the downwards direction is defined as the highest price of </w:t>
            </w:r>
            <w:proofErr w:type="spellStart"/>
            <w:r w:rsidRPr="0052398E">
              <w:rPr>
                <w:lang w:val="en-US"/>
              </w:rPr>
              <w:t>aFRR</w:t>
            </w:r>
            <w:proofErr w:type="spellEnd"/>
            <w:r w:rsidRPr="0052398E">
              <w:rPr>
                <w:lang w:val="en-US"/>
              </w:rPr>
              <w:t xml:space="preserve"> and </w:t>
            </w:r>
            <w:proofErr w:type="spellStart"/>
            <w:r w:rsidRPr="0052398E">
              <w:rPr>
                <w:lang w:val="en-US"/>
              </w:rPr>
              <w:t>mFRR</w:t>
            </w:r>
            <w:proofErr w:type="spellEnd"/>
            <w:r w:rsidRPr="0052398E">
              <w:rPr>
                <w:lang w:val="en-US"/>
              </w:rPr>
              <w:t xml:space="preserve"> bids for the downwards balancing in the relevant ISP.</w:t>
            </w:r>
          </w:p>
        </w:tc>
        <w:tc>
          <w:tcPr>
            <w:tcW w:w="3760" w:type="dxa"/>
          </w:tcPr>
          <w:p w14:paraId="67280B04" w14:textId="5E95CE94" w:rsidR="00422A2A" w:rsidRPr="005B3B26" w:rsidRDefault="00422A2A" w:rsidP="005A43AF">
            <w:pPr>
              <w:ind w:left="3"/>
              <w:jc w:val="both"/>
              <w:rPr>
                <w:rFonts w:ascii="Times New Roman" w:hAnsi="Times New Roman" w:cs="Times New Roman"/>
                <w:sz w:val="24"/>
                <w:szCs w:val="24"/>
              </w:rPr>
            </w:pPr>
            <w:r w:rsidRPr="005B3B26">
              <w:rPr>
                <w:rFonts w:ascii="Times New Roman" w:hAnsi="Times New Roman" w:cs="Times New Roman"/>
                <w:sz w:val="24"/>
                <w:szCs w:val="24"/>
              </w:rPr>
              <w:t xml:space="preserve">Ietaupītās aktivizācijas vērtību lejupvērstam virzienam </w:t>
            </w:r>
            <w:r>
              <w:rPr>
                <w:rFonts w:ascii="Times New Roman" w:hAnsi="Times New Roman" w:cs="Times New Roman"/>
                <w:sz w:val="24"/>
                <w:szCs w:val="24"/>
              </w:rPr>
              <w:t xml:space="preserve">nosaka </w:t>
            </w:r>
            <w:r w:rsidRPr="005B3B26">
              <w:rPr>
                <w:rFonts w:ascii="Times New Roman" w:hAnsi="Times New Roman" w:cs="Times New Roman"/>
                <w:sz w:val="24"/>
                <w:szCs w:val="24"/>
              </w:rPr>
              <w:t xml:space="preserve">kā </w:t>
            </w:r>
            <w:r>
              <w:rPr>
                <w:rFonts w:ascii="Times New Roman" w:hAnsi="Times New Roman" w:cs="Times New Roman"/>
                <w:sz w:val="24"/>
                <w:szCs w:val="24"/>
              </w:rPr>
              <w:t xml:space="preserve">lejupvērstas regulēšanas </w:t>
            </w: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mFRR</w:t>
            </w:r>
            <w:proofErr w:type="spellEnd"/>
            <w:r>
              <w:rPr>
                <w:rFonts w:ascii="Times New Roman" w:hAnsi="Times New Roman" w:cs="Times New Roman"/>
                <w:sz w:val="24"/>
                <w:szCs w:val="24"/>
              </w:rPr>
              <w:t xml:space="preserve"> solījumu augstāko cenu attiecīgajā ISP.</w:t>
            </w:r>
          </w:p>
          <w:p w14:paraId="79DE49F4" w14:textId="02443ABA" w:rsidR="00422A2A" w:rsidRPr="005B3B26" w:rsidRDefault="00422A2A" w:rsidP="005A43AF">
            <w:pPr>
              <w:jc w:val="both"/>
              <w:rPr>
                <w:rFonts w:ascii="Times New Roman" w:hAnsi="Times New Roman" w:cs="Times New Roman"/>
                <w:sz w:val="24"/>
                <w:szCs w:val="24"/>
              </w:rPr>
            </w:pPr>
          </w:p>
        </w:tc>
      </w:tr>
      <w:tr w:rsidR="00F527BD" w14:paraId="32AA3A92" w14:textId="77777777" w:rsidTr="00F527BD">
        <w:trPr>
          <w:trHeight w:val="1758"/>
        </w:trPr>
        <w:tc>
          <w:tcPr>
            <w:tcW w:w="1276" w:type="dxa"/>
          </w:tcPr>
          <w:p w14:paraId="44E01BE2" w14:textId="77777777" w:rsidR="00945F64" w:rsidRPr="00945F64" w:rsidRDefault="00945F64" w:rsidP="00945F64">
            <w:pPr>
              <w:pStyle w:val="Caption"/>
              <w:numPr>
                <w:ilvl w:val="2"/>
                <w:numId w:val="48"/>
              </w:numPr>
              <w:spacing w:before="0"/>
              <w:rPr>
                <w:lang w:val="en-US"/>
              </w:rPr>
            </w:pPr>
          </w:p>
        </w:tc>
        <w:tc>
          <w:tcPr>
            <w:tcW w:w="3890" w:type="dxa"/>
          </w:tcPr>
          <w:p w14:paraId="168858D9" w14:textId="25ABA4DB" w:rsidR="00422A2A" w:rsidDel="00CA45FC" w:rsidRDefault="00422A2A" w:rsidP="00945F64">
            <w:pPr>
              <w:pStyle w:val="Bullet01"/>
              <w:numPr>
                <w:ilvl w:val="0"/>
                <w:numId w:val="0"/>
              </w:numPr>
              <w:spacing w:before="0" w:beforeAutospacing="0" w:line="240" w:lineRule="auto"/>
              <w:ind w:left="170"/>
              <w:rPr>
                <w:lang w:val="en-US"/>
              </w:rPr>
            </w:pPr>
            <w:r w:rsidRPr="00C730F8">
              <w:rPr>
                <w:lang w:val="en-US"/>
              </w:rPr>
              <w:t>If there are no bids for the balancing product of the relevant direction in the ISP, the value of the saved activation for that route is 0 EUR/MWh.</w:t>
            </w:r>
          </w:p>
        </w:tc>
        <w:tc>
          <w:tcPr>
            <w:tcW w:w="3760" w:type="dxa"/>
          </w:tcPr>
          <w:p w14:paraId="07C52F0A" w14:textId="0E8DB0AA" w:rsidR="00422A2A" w:rsidRPr="005B3B26" w:rsidRDefault="00422A2A" w:rsidP="005A43AF">
            <w:pPr>
              <w:jc w:val="both"/>
              <w:rPr>
                <w:rFonts w:ascii="Times New Roman" w:hAnsi="Times New Roman" w:cs="Times New Roman"/>
                <w:sz w:val="24"/>
                <w:szCs w:val="24"/>
              </w:rPr>
            </w:pPr>
            <w:r w:rsidRPr="005B3B26">
              <w:rPr>
                <w:rFonts w:ascii="Times New Roman" w:hAnsi="Times New Roman" w:cs="Times New Roman"/>
                <w:sz w:val="24"/>
                <w:szCs w:val="24"/>
              </w:rPr>
              <w:t>Ja kādā no ISP nav attiecīgā virziena regulēšanas produkta solījumu, tad ietaupītās aktivizācijas vērtība attiecīgajam virzienam ir 0 EUR/</w:t>
            </w:r>
            <w:proofErr w:type="spellStart"/>
            <w:r w:rsidRPr="005B3B26">
              <w:rPr>
                <w:rFonts w:ascii="Times New Roman" w:hAnsi="Times New Roman" w:cs="Times New Roman"/>
                <w:sz w:val="24"/>
                <w:szCs w:val="24"/>
              </w:rPr>
              <w:t>MWh</w:t>
            </w:r>
            <w:proofErr w:type="spellEnd"/>
            <w:r w:rsidRPr="005B3B26">
              <w:rPr>
                <w:rFonts w:ascii="Times New Roman" w:hAnsi="Times New Roman" w:cs="Times New Roman"/>
                <w:sz w:val="24"/>
                <w:szCs w:val="24"/>
              </w:rPr>
              <w:t>.</w:t>
            </w:r>
          </w:p>
        </w:tc>
      </w:tr>
      <w:tr w:rsidR="00F527BD" w14:paraId="14937BB7" w14:textId="77777777" w:rsidTr="00F527BD">
        <w:trPr>
          <w:trHeight w:val="3534"/>
        </w:trPr>
        <w:tc>
          <w:tcPr>
            <w:tcW w:w="1276" w:type="dxa"/>
          </w:tcPr>
          <w:p w14:paraId="156E91CA" w14:textId="77777777" w:rsidR="00422A2A" w:rsidRPr="0030041C" w:rsidRDefault="00422A2A" w:rsidP="00945F64">
            <w:pPr>
              <w:pStyle w:val="Caption"/>
              <w:numPr>
                <w:ilvl w:val="1"/>
                <w:numId w:val="48"/>
              </w:numPr>
              <w:spacing w:before="0"/>
              <w:rPr>
                <w:rFonts w:ascii="Times New Roman" w:hAnsi="Times New Roman" w:cs="Times New Roman"/>
                <w:lang w:val="en-US"/>
              </w:rPr>
            </w:pPr>
          </w:p>
        </w:tc>
        <w:tc>
          <w:tcPr>
            <w:tcW w:w="3890" w:type="dxa"/>
          </w:tcPr>
          <w:p w14:paraId="1D68378B" w14:textId="649A7B06" w:rsidR="00422A2A" w:rsidRPr="00945F64" w:rsidRDefault="00422A2A" w:rsidP="00945F64">
            <w:pPr>
              <w:jc w:val="both"/>
              <w:rPr>
                <w:rFonts w:ascii="Times New Roman" w:hAnsi="Times New Roman" w:cs="Times New Roman"/>
                <w:sz w:val="24"/>
                <w:szCs w:val="24"/>
                <w:lang w:val="en-US"/>
              </w:rPr>
            </w:pPr>
            <w:r w:rsidRPr="00945F64">
              <w:rPr>
                <w:rFonts w:ascii="Times New Roman" w:hAnsi="Times New Roman" w:cs="Times New Roman"/>
                <w:sz w:val="24"/>
                <w:szCs w:val="24"/>
                <w:lang w:val="en-US"/>
              </w:rPr>
              <w:t xml:space="preserve">The balancing reference price for each direction shall be determined on the basis of the weighted average price of all </w:t>
            </w:r>
            <w:proofErr w:type="spellStart"/>
            <w:r w:rsidRPr="00945F64">
              <w:rPr>
                <w:rFonts w:ascii="Times New Roman" w:hAnsi="Times New Roman" w:cs="Times New Roman"/>
                <w:sz w:val="24"/>
                <w:szCs w:val="24"/>
                <w:lang w:val="en-US"/>
              </w:rPr>
              <w:t>mFRR</w:t>
            </w:r>
            <w:proofErr w:type="spellEnd"/>
            <w:r w:rsidRPr="00945F64">
              <w:rPr>
                <w:rFonts w:ascii="Times New Roman" w:hAnsi="Times New Roman" w:cs="Times New Roman"/>
                <w:sz w:val="24"/>
                <w:szCs w:val="24"/>
                <w:lang w:val="en-US"/>
              </w:rPr>
              <w:t xml:space="preserve"> activation requests (SA and DA types) and local activations covered by the TSO and </w:t>
            </w:r>
            <w:proofErr w:type="spellStart"/>
            <w:r w:rsidRPr="00945F64">
              <w:rPr>
                <w:rFonts w:ascii="Times New Roman" w:hAnsi="Times New Roman" w:cs="Times New Roman"/>
                <w:sz w:val="24"/>
                <w:szCs w:val="24"/>
                <w:lang w:val="en-US"/>
              </w:rPr>
              <w:t>aFRR</w:t>
            </w:r>
            <w:proofErr w:type="spellEnd"/>
            <w:r w:rsidRPr="00945F64">
              <w:rPr>
                <w:rFonts w:ascii="Times New Roman" w:hAnsi="Times New Roman" w:cs="Times New Roman"/>
                <w:sz w:val="24"/>
                <w:szCs w:val="24"/>
                <w:lang w:val="en-US"/>
              </w:rPr>
              <w:t xml:space="preserve"> activation requests covered by each ISP, using the prices determined in accordance with clauses </w:t>
            </w:r>
            <w:r w:rsidRPr="00945F64">
              <w:rPr>
                <w:rFonts w:ascii="Times New Roman" w:hAnsi="Times New Roman" w:cs="Times New Roman"/>
                <w:sz w:val="24"/>
                <w:szCs w:val="24"/>
                <w:lang w:val="en-US"/>
              </w:rPr>
              <w:t xml:space="preserve">7.1., 7.2 and </w:t>
            </w:r>
            <w:proofErr w:type="gramStart"/>
            <w:r w:rsidRPr="00945F64">
              <w:rPr>
                <w:rFonts w:ascii="Times New Roman" w:hAnsi="Times New Roman" w:cs="Times New Roman"/>
                <w:sz w:val="24"/>
                <w:szCs w:val="24"/>
                <w:lang w:val="en-US"/>
              </w:rPr>
              <w:t>7.3.</w:t>
            </w:r>
            <w:r w:rsidRPr="00945F64">
              <w:rPr>
                <w:rFonts w:ascii="Times New Roman" w:hAnsi="Times New Roman" w:cs="Times New Roman"/>
                <w:sz w:val="24"/>
                <w:szCs w:val="24"/>
                <w:lang w:val="en-US"/>
              </w:rPr>
              <w:t>.</w:t>
            </w:r>
            <w:proofErr w:type="gramEnd"/>
            <w:r w:rsidRPr="00945F64">
              <w:rPr>
                <w:rFonts w:ascii="Times New Roman" w:hAnsi="Times New Roman" w:cs="Times New Roman"/>
                <w:sz w:val="24"/>
                <w:szCs w:val="24"/>
                <w:lang w:val="en-US"/>
              </w:rPr>
              <w:t xml:space="preserve"> The balancing reference price used in the calculation of the imbalance price shall be determined by:</w:t>
            </w:r>
          </w:p>
          <w:p w14:paraId="17E0E053" w14:textId="77777777" w:rsidR="00422A2A" w:rsidRPr="001D0E20" w:rsidRDefault="00422A2A" w:rsidP="005A43AF">
            <w:pPr>
              <w:jc w:val="both"/>
              <w:rPr>
                <w:lang w:val="en-US"/>
              </w:rPr>
            </w:pPr>
          </w:p>
        </w:tc>
        <w:tc>
          <w:tcPr>
            <w:tcW w:w="3760" w:type="dxa"/>
          </w:tcPr>
          <w:p w14:paraId="13CDDF65" w14:textId="01790423" w:rsidR="00422A2A" w:rsidRPr="00B206C8" w:rsidRDefault="00422A2A" w:rsidP="005A43AF">
            <w:pPr>
              <w:ind w:left="3"/>
              <w:jc w:val="both"/>
              <w:rPr>
                <w:rFonts w:ascii="Times New Roman" w:hAnsi="Times New Roman" w:cs="Times New Roman"/>
                <w:sz w:val="24"/>
                <w:szCs w:val="24"/>
              </w:rPr>
            </w:pPr>
            <w:r w:rsidRPr="00B206C8">
              <w:rPr>
                <w:rFonts w:ascii="Times New Roman" w:hAnsi="Times New Roman" w:cs="Times New Roman"/>
                <w:sz w:val="24"/>
                <w:szCs w:val="24"/>
              </w:rPr>
              <w:t xml:space="preserve">Regulēšanas elektroenerģijas cena katram virzienam tiek noteikta, pamatojoties uz vidējo svērto cenu atbilstoši visiem PSO nosegtajiem </w:t>
            </w:r>
            <w:proofErr w:type="spellStart"/>
            <w:r w:rsidRPr="00B206C8">
              <w:rPr>
                <w:rFonts w:ascii="Times New Roman" w:hAnsi="Times New Roman" w:cs="Times New Roman"/>
                <w:sz w:val="24"/>
                <w:szCs w:val="24"/>
              </w:rPr>
              <w:t>mFRR</w:t>
            </w:r>
            <w:proofErr w:type="spellEnd"/>
            <w:r w:rsidRPr="00B206C8">
              <w:rPr>
                <w:rFonts w:ascii="Times New Roman" w:hAnsi="Times New Roman" w:cs="Times New Roman"/>
                <w:sz w:val="24"/>
                <w:szCs w:val="24"/>
              </w:rPr>
              <w:t xml:space="preserve"> aktivizācijas pieprasījumiem (SA un DA tipiem)</w:t>
            </w:r>
            <w:r>
              <w:rPr>
                <w:rFonts w:ascii="Times New Roman" w:hAnsi="Times New Roman" w:cs="Times New Roman"/>
                <w:sz w:val="24"/>
                <w:szCs w:val="24"/>
              </w:rPr>
              <w:t xml:space="preserve"> un lokālajām aktivizācijām un nosegtajiem </w:t>
            </w: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aktivizācijas pieprasījumiem</w:t>
            </w:r>
            <w:r w:rsidRPr="00B206C8">
              <w:rPr>
                <w:rFonts w:ascii="Times New Roman" w:hAnsi="Times New Roman" w:cs="Times New Roman"/>
                <w:sz w:val="24"/>
                <w:szCs w:val="24"/>
              </w:rPr>
              <w:t xml:space="preserve"> katram </w:t>
            </w:r>
            <w:r>
              <w:rPr>
                <w:rFonts w:ascii="Times New Roman" w:hAnsi="Times New Roman" w:cs="Times New Roman"/>
                <w:sz w:val="24"/>
                <w:szCs w:val="24"/>
              </w:rPr>
              <w:t>ISP</w:t>
            </w:r>
            <w:r w:rsidRPr="00B206C8">
              <w:rPr>
                <w:rFonts w:ascii="Times New Roman" w:hAnsi="Times New Roman" w:cs="Times New Roman"/>
                <w:sz w:val="24"/>
                <w:szCs w:val="24"/>
              </w:rPr>
              <w:t xml:space="preserve">, izmantojot cenas, kas noteiktas saskaņā ar </w:t>
            </w:r>
            <w:r>
              <w:rPr>
                <w:rFonts w:ascii="Times New Roman" w:hAnsi="Times New Roman" w:cs="Times New Roman"/>
                <w:sz w:val="24"/>
                <w:szCs w:val="24"/>
              </w:rPr>
              <w:t>7.1., 7.2</w:t>
            </w:r>
            <w:r w:rsidRPr="00B206C8">
              <w:rPr>
                <w:rFonts w:ascii="Times New Roman" w:hAnsi="Times New Roman" w:cs="Times New Roman"/>
                <w:sz w:val="24"/>
                <w:szCs w:val="24"/>
              </w:rPr>
              <w:t xml:space="preserve">. un </w:t>
            </w:r>
            <w:r>
              <w:rPr>
                <w:rFonts w:ascii="Times New Roman" w:hAnsi="Times New Roman" w:cs="Times New Roman"/>
                <w:sz w:val="24"/>
                <w:szCs w:val="24"/>
              </w:rPr>
              <w:t>7.3.</w:t>
            </w:r>
            <w:r w:rsidRPr="00B206C8">
              <w:rPr>
                <w:rFonts w:ascii="Times New Roman" w:hAnsi="Times New Roman" w:cs="Times New Roman"/>
                <w:sz w:val="24"/>
                <w:szCs w:val="24"/>
              </w:rPr>
              <w:t xml:space="preserve">. punktiem. </w:t>
            </w:r>
            <w:proofErr w:type="spellStart"/>
            <w:r w:rsidRPr="00B206C8">
              <w:rPr>
                <w:rFonts w:ascii="Times New Roman" w:hAnsi="Times New Roman" w:cs="Times New Roman"/>
                <w:sz w:val="24"/>
                <w:szCs w:val="24"/>
              </w:rPr>
              <w:t>Nebalansa</w:t>
            </w:r>
            <w:proofErr w:type="spellEnd"/>
            <w:r w:rsidRPr="00B206C8">
              <w:rPr>
                <w:rFonts w:ascii="Times New Roman" w:hAnsi="Times New Roman" w:cs="Times New Roman"/>
                <w:sz w:val="24"/>
                <w:szCs w:val="24"/>
              </w:rPr>
              <w:t xml:space="preserve"> cenas aprēķinos izmantoto Regulēšanas elektroenerģijas cenu nosaka:</w:t>
            </w:r>
          </w:p>
          <w:p w14:paraId="290A8B6C" w14:textId="130863AA" w:rsidR="00422A2A" w:rsidRPr="00B206C8" w:rsidRDefault="00422A2A" w:rsidP="005A43AF">
            <w:pPr>
              <w:jc w:val="both"/>
              <w:rPr>
                <w:rFonts w:ascii="Times New Roman" w:hAnsi="Times New Roman" w:cs="Times New Roman"/>
                <w:sz w:val="24"/>
                <w:szCs w:val="24"/>
              </w:rPr>
            </w:pPr>
          </w:p>
        </w:tc>
      </w:tr>
      <w:tr w:rsidR="00F527BD" w14:paraId="37DA146E" w14:textId="77777777" w:rsidTr="00F527BD">
        <w:trPr>
          <w:trHeight w:val="1397"/>
        </w:trPr>
        <w:tc>
          <w:tcPr>
            <w:tcW w:w="1276" w:type="dxa"/>
          </w:tcPr>
          <w:p w14:paraId="7EDB5610" w14:textId="77777777" w:rsidR="00945F64" w:rsidRPr="00945F64" w:rsidRDefault="00945F64" w:rsidP="00945F64">
            <w:pPr>
              <w:pStyle w:val="Caption"/>
              <w:numPr>
                <w:ilvl w:val="2"/>
                <w:numId w:val="48"/>
              </w:numPr>
              <w:spacing w:before="0"/>
              <w:rPr>
                <w:rFonts w:ascii="Times New Roman" w:hAnsi="Times New Roman" w:cs="Times New Roman"/>
                <w:lang w:val="en-US"/>
              </w:rPr>
            </w:pPr>
          </w:p>
        </w:tc>
        <w:tc>
          <w:tcPr>
            <w:tcW w:w="3890" w:type="dxa"/>
          </w:tcPr>
          <w:p w14:paraId="31478960" w14:textId="4DDBA87B" w:rsidR="00422A2A" w:rsidRPr="00945F64" w:rsidDel="00C730F8" w:rsidRDefault="00422A2A" w:rsidP="00945F64">
            <w:pPr>
              <w:ind w:left="301"/>
              <w:jc w:val="both"/>
              <w:rPr>
                <w:rFonts w:ascii="Times New Roman" w:hAnsi="Times New Roman" w:cs="Times New Roman"/>
                <w:sz w:val="24"/>
                <w:szCs w:val="24"/>
                <w:lang w:val="en-US"/>
              </w:rPr>
            </w:pPr>
            <w:r w:rsidRPr="00945F64">
              <w:rPr>
                <w:rFonts w:ascii="Times New Roman" w:hAnsi="Times New Roman" w:cs="Times New Roman"/>
                <w:sz w:val="24"/>
                <w:szCs w:val="24"/>
                <w:lang w:val="en-US"/>
              </w:rPr>
              <w:t>If only demand for upward activations for balancing have been made within ISP, the upward direction Balancing reference price is used;</w:t>
            </w:r>
          </w:p>
        </w:tc>
        <w:tc>
          <w:tcPr>
            <w:tcW w:w="3760" w:type="dxa"/>
          </w:tcPr>
          <w:p w14:paraId="4AA4F355" w14:textId="77777777" w:rsidR="00422A2A" w:rsidRPr="00791A69" w:rsidRDefault="00422A2A" w:rsidP="005A43AF">
            <w:pPr>
              <w:ind w:left="3"/>
              <w:jc w:val="both"/>
              <w:rPr>
                <w:rFonts w:ascii="Times New Roman" w:hAnsi="Times New Roman" w:cs="Times New Roman"/>
                <w:sz w:val="24"/>
                <w:szCs w:val="24"/>
              </w:rPr>
            </w:pPr>
            <w:r w:rsidRPr="00791A69">
              <w:rPr>
                <w:rFonts w:ascii="Times New Roman" w:hAnsi="Times New Roman" w:cs="Times New Roman"/>
                <w:sz w:val="24"/>
                <w:szCs w:val="24"/>
              </w:rPr>
              <w:t xml:space="preserve">Ja ISP ietvaros ir veikts pieprasījums tikai pēc </w:t>
            </w:r>
            <w:proofErr w:type="spellStart"/>
            <w:r w:rsidRPr="00791A69">
              <w:rPr>
                <w:rFonts w:ascii="Times New Roman" w:hAnsi="Times New Roman" w:cs="Times New Roman"/>
                <w:sz w:val="24"/>
                <w:szCs w:val="24"/>
              </w:rPr>
              <w:t>augšupvērstas</w:t>
            </w:r>
            <w:proofErr w:type="spellEnd"/>
            <w:r w:rsidRPr="00791A69">
              <w:rPr>
                <w:rFonts w:ascii="Times New Roman" w:hAnsi="Times New Roman" w:cs="Times New Roman"/>
                <w:sz w:val="24"/>
                <w:szCs w:val="24"/>
              </w:rPr>
              <w:t xml:space="preserve"> aktivizēšanas balansēšanas vajadzībām, tiek izmantota Regulēšanas elektroenerģijas cena </w:t>
            </w:r>
            <w:proofErr w:type="spellStart"/>
            <w:r w:rsidRPr="00791A69">
              <w:rPr>
                <w:rFonts w:ascii="Times New Roman" w:hAnsi="Times New Roman" w:cs="Times New Roman"/>
                <w:sz w:val="24"/>
                <w:szCs w:val="24"/>
              </w:rPr>
              <w:t>augšupvērstām</w:t>
            </w:r>
            <w:proofErr w:type="spellEnd"/>
            <w:r w:rsidRPr="00791A69">
              <w:rPr>
                <w:rFonts w:ascii="Times New Roman" w:hAnsi="Times New Roman" w:cs="Times New Roman"/>
                <w:sz w:val="24"/>
                <w:szCs w:val="24"/>
              </w:rPr>
              <w:t xml:space="preserve"> aktivizācijām;</w:t>
            </w:r>
          </w:p>
          <w:p w14:paraId="206E059D" w14:textId="5E43FF5C" w:rsidR="00422A2A" w:rsidRPr="00B206C8" w:rsidRDefault="00422A2A" w:rsidP="005A43AF">
            <w:pPr>
              <w:jc w:val="both"/>
              <w:rPr>
                <w:rFonts w:ascii="Times New Roman" w:hAnsi="Times New Roman" w:cs="Times New Roman"/>
                <w:sz w:val="24"/>
                <w:szCs w:val="24"/>
              </w:rPr>
            </w:pPr>
          </w:p>
        </w:tc>
      </w:tr>
      <w:tr w:rsidR="00F527BD" w14:paraId="6FE01549" w14:textId="77777777" w:rsidTr="00F527BD">
        <w:trPr>
          <w:trHeight w:val="1685"/>
        </w:trPr>
        <w:tc>
          <w:tcPr>
            <w:tcW w:w="1276" w:type="dxa"/>
          </w:tcPr>
          <w:p w14:paraId="6CCE4FFE" w14:textId="77777777" w:rsidR="00422A2A" w:rsidRPr="00945F64" w:rsidRDefault="00422A2A" w:rsidP="00945F64">
            <w:pPr>
              <w:pStyle w:val="Caption"/>
              <w:numPr>
                <w:ilvl w:val="2"/>
                <w:numId w:val="48"/>
              </w:numPr>
              <w:spacing w:before="0"/>
              <w:rPr>
                <w:rFonts w:ascii="Times New Roman" w:hAnsi="Times New Roman" w:cs="Times New Roman"/>
                <w:lang w:val="en-US"/>
              </w:rPr>
            </w:pPr>
          </w:p>
        </w:tc>
        <w:tc>
          <w:tcPr>
            <w:tcW w:w="3890" w:type="dxa"/>
          </w:tcPr>
          <w:p w14:paraId="7315F1A6" w14:textId="3F81ACC8" w:rsidR="00422A2A" w:rsidRPr="00945F64" w:rsidRDefault="00422A2A" w:rsidP="00945F64">
            <w:pPr>
              <w:jc w:val="both"/>
              <w:rPr>
                <w:rFonts w:ascii="Times New Roman" w:hAnsi="Times New Roman" w:cs="Times New Roman"/>
                <w:sz w:val="24"/>
                <w:szCs w:val="24"/>
                <w:lang w:val="en-US"/>
              </w:rPr>
            </w:pPr>
            <w:r w:rsidRPr="00945F64">
              <w:rPr>
                <w:rFonts w:ascii="Times New Roman" w:hAnsi="Times New Roman" w:cs="Times New Roman"/>
                <w:sz w:val="24"/>
                <w:szCs w:val="24"/>
                <w:lang w:val="en-US"/>
              </w:rPr>
              <w:t>If only demand for downward activations for balancing have been made within ISP, the downward direction Balancing reference price is used;</w:t>
            </w:r>
          </w:p>
          <w:p w14:paraId="444E82DF" w14:textId="77777777" w:rsidR="00422A2A" w:rsidRPr="0030041C" w:rsidDel="00C730F8" w:rsidRDefault="00422A2A" w:rsidP="005A43AF">
            <w:pPr>
              <w:jc w:val="both"/>
              <w:rPr>
                <w:rFonts w:ascii="Times New Roman" w:hAnsi="Times New Roman" w:cs="Times New Roman"/>
                <w:sz w:val="24"/>
                <w:szCs w:val="24"/>
                <w:lang w:val="en-US"/>
              </w:rPr>
            </w:pPr>
          </w:p>
        </w:tc>
        <w:tc>
          <w:tcPr>
            <w:tcW w:w="3760" w:type="dxa"/>
          </w:tcPr>
          <w:p w14:paraId="12FF86B9" w14:textId="32E7FC2C" w:rsidR="00422A2A" w:rsidRPr="00B206C8" w:rsidRDefault="00422A2A" w:rsidP="005A43AF">
            <w:pPr>
              <w:ind w:left="570" w:hanging="431"/>
              <w:jc w:val="both"/>
              <w:rPr>
                <w:rFonts w:ascii="Times New Roman" w:hAnsi="Times New Roman" w:cs="Times New Roman"/>
                <w:sz w:val="24"/>
                <w:szCs w:val="24"/>
              </w:rPr>
            </w:pPr>
            <w:r w:rsidRPr="00791A69">
              <w:rPr>
                <w:rFonts w:ascii="Times New Roman" w:hAnsi="Times New Roman" w:cs="Times New Roman"/>
                <w:sz w:val="24"/>
                <w:szCs w:val="24"/>
              </w:rPr>
              <w:t>Ja ISP ietvaros ir veikts pieprasījums tikai pēc lejupvērstas aktivizēšanas balansēšanas vajadzībām, tiek izmantota Regulēšanas elektroenerģijas cena lejupvērstā</w:t>
            </w:r>
            <w:r>
              <w:rPr>
                <w:rFonts w:ascii="Times New Roman" w:hAnsi="Times New Roman" w:cs="Times New Roman"/>
                <w:sz w:val="24"/>
                <w:szCs w:val="24"/>
              </w:rPr>
              <w:t>m</w:t>
            </w:r>
            <w:r w:rsidRPr="00791A69">
              <w:rPr>
                <w:rFonts w:ascii="Times New Roman" w:hAnsi="Times New Roman" w:cs="Times New Roman"/>
                <w:sz w:val="24"/>
                <w:szCs w:val="24"/>
              </w:rPr>
              <w:t xml:space="preserve"> aktivizācijām;</w:t>
            </w:r>
          </w:p>
        </w:tc>
      </w:tr>
      <w:tr w:rsidR="00F527BD" w14:paraId="5F32AA29" w14:textId="77777777" w:rsidTr="00F527BD">
        <w:trPr>
          <w:trHeight w:val="1868"/>
        </w:trPr>
        <w:tc>
          <w:tcPr>
            <w:tcW w:w="1276" w:type="dxa"/>
          </w:tcPr>
          <w:p w14:paraId="3D05378D" w14:textId="77777777" w:rsidR="00422A2A" w:rsidRPr="00945F64" w:rsidRDefault="00422A2A" w:rsidP="00945F64">
            <w:pPr>
              <w:pStyle w:val="Caption"/>
              <w:numPr>
                <w:ilvl w:val="1"/>
                <w:numId w:val="48"/>
              </w:numPr>
              <w:spacing w:before="0"/>
              <w:rPr>
                <w:rFonts w:ascii="Times New Roman" w:hAnsi="Times New Roman" w:cs="Times New Roman"/>
                <w:lang w:val="en-US"/>
              </w:rPr>
            </w:pPr>
          </w:p>
        </w:tc>
        <w:tc>
          <w:tcPr>
            <w:tcW w:w="3890" w:type="dxa"/>
          </w:tcPr>
          <w:p w14:paraId="70DDE0D7" w14:textId="41DFAD39" w:rsidR="00422A2A" w:rsidRPr="00945F64" w:rsidRDefault="00422A2A" w:rsidP="00945F64">
            <w:pPr>
              <w:jc w:val="both"/>
              <w:rPr>
                <w:rFonts w:ascii="Times New Roman" w:hAnsi="Times New Roman" w:cs="Times New Roman"/>
                <w:sz w:val="24"/>
                <w:szCs w:val="24"/>
                <w:lang w:val="en-US"/>
              </w:rPr>
            </w:pPr>
            <w:r w:rsidRPr="00945F64">
              <w:rPr>
                <w:rFonts w:ascii="Times New Roman" w:hAnsi="Times New Roman" w:cs="Times New Roman"/>
                <w:sz w:val="24"/>
                <w:szCs w:val="24"/>
                <w:lang w:val="en-US"/>
              </w:rPr>
              <w:t xml:space="preserve">If demand for both (downward and upward) activations or no demand for balancing have been made within </w:t>
            </w:r>
            <w:proofErr w:type="gramStart"/>
            <w:r w:rsidRPr="00945F64">
              <w:rPr>
                <w:rFonts w:ascii="Times New Roman" w:hAnsi="Times New Roman" w:cs="Times New Roman"/>
                <w:sz w:val="24"/>
                <w:szCs w:val="24"/>
                <w:lang w:val="en-US"/>
              </w:rPr>
              <w:t>ISP</w:t>
            </w:r>
            <w:proofErr w:type="gramEnd"/>
            <w:r w:rsidRPr="00945F64">
              <w:rPr>
                <w:rFonts w:ascii="Times New Roman" w:hAnsi="Times New Roman" w:cs="Times New Roman"/>
                <w:sz w:val="24"/>
                <w:szCs w:val="24"/>
                <w:lang w:val="en-US"/>
              </w:rPr>
              <w:t xml:space="preserve"> the Balancing reference price used is determined as follows:</w:t>
            </w:r>
          </w:p>
          <w:p w14:paraId="029D8690" w14:textId="77777777" w:rsidR="00422A2A" w:rsidRPr="0030041C" w:rsidDel="00C730F8" w:rsidRDefault="00422A2A" w:rsidP="005A43AF">
            <w:pPr>
              <w:ind w:left="301"/>
              <w:jc w:val="both"/>
              <w:rPr>
                <w:rFonts w:ascii="Times New Roman" w:hAnsi="Times New Roman" w:cs="Times New Roman"/>
                <w:sz w:val="24"/>
                <w:szCs w:val="24"/>
                <w:lang w:val="en-US"/>
              </w:rPr>
            </w:pPr>
          </w:p>
        </w:tc>
        <w:tc>
          <w:tcPr>
            <w:tcW w:w="3760" w:type="dxa"/>
          </w:tcPr>
          <w:p w14:paraId="631DA2A1" w14:textId="77777777" w:rsidR="00422A2A" w:rsidRPr="00794F69" w:rsidRDefault="00422A2A" w:rsidP="005A43AF">
            <w:pPr>
              <w:ind w:left="3"/>
              <w:jc w:val="both"/>
              <w:rPr>
                <w:rFonts w:ascii="Times New Roman" w:hAnsi="Times New Roman" w:cs="Times New Roman"/>
                <w:sz w:val="24"/>
                <w:szCs w:val="24"/>
              </w:rPr>
            </w:pPr>
            <w:r w:rsidRPr="00794F69">
              <w:rPr>
                <w:rFonts w:ascii="Times New Roman" w:hAnsi="Times New Roman" w:cs="Times New Roman"/>
                <w:sz w:val="24"/>
                <w:szCs w:val="24"/>
              </w:rPr>
              <w:t>Ja ISP ietvaros ir veikts pieprasījums pēc abu virzienu (</w:t>
            </w:r>
            <w:proofErr w:type="spellStart"/>
            <w:r w:rsidRPr="00794F69">
              <w:rPr>
                <w:rFonts w:ascii="Times New Roman" w:hAnsi="Times New Roman" w:cs="Times New Roman"/>
                <w:sz w:val="24"/>
                <w:szCs w:val="24"/>
              </w:rPr>
              <w:t>augšupvērstu</w:t>
            </w:r>
            <w:proofErr w:type="spellEnd"/>
            <w:r w:rsidRPr="00794F69">
              <w:rPr>
                <w:rFonts w:ascii="Times New Roman" w:hAnsi="Times New Roman" w:cs="Times New Roman"/>
                <w:sz w:val="24"/>
                <w:szCs w:val="24"/>
              </w:rPr>
              <w:t xml:space="preserve"> un lejupvērstu) aktivizācijām vai pieprasījums balansēšanai nav izteikts, izmantotā Regulēšanas elektroenerģijas cena tiek noteikta šādi:</w:t>
            </w:r>
          </w:p>
          <w:p w14:paraId="703FEB4C" w14:textId="42816D9A" w:rsidR="00422A2A" w:rsidRPr="00B206C8" w:rsidRDefault="00422A2A" w:rsidP="005A43AF">
            <w:pPr>
              <w:jc w:val="both"/>
              <w:rPr>
                <w:rFonts w:ascii="Times New Roman" w:hAnsi="Times New Roman" w:cs="Times New Roman"/>
                <w:sz w:val="24"/>
                <w:szCs w:val="24"/>
              </w:rPr>
            </w:pPr>
          </w:p>
        </w:tc>
      </w:tr>
      <w:tr w:rsidR="00F527BD" w14:paraId="1B71DD47" w14:textId="77777777" w:rsidTr="00F527BD">
        <w:trPr>
          <w:trHeight w:val="1833"/>
        </w:trPr>
        <w:tc>
          <w:tcPr>
            <w:tcW w:w="1276" w:type="dxa"/>
          </w:tcPr>
          <w:p w14:paraId="4ED5248B" w14:textId="77777777" w:rsidR="00422A2A" w:rsidRPr="0030041C" w:rsidRDefault="00422A2A" w:rsidP="00945F64">
            <w:pPr>
              <w:pStyle w:val="Caption"/>
              <w:numPr>
                <w:ilvl w:val="2"/>
                <w:numId w:val="48"/>
              </w:numPr>
              <w:spacing w:before="0"/>
              <w:rPr>
                <w:rFonts w:ascii="Times New Roman" w:hAnsi="Times New Roman" w:cs="Times New Roman"/>
                <w:lang w:val="en-US"/>
              </w:rPr>
            </w:pPr>
          </w:p>
        </w:tc>
        <w:tc>
          <w:tcPr>
            <w:tcW w:w="3890" w:type="dxa"/>
          </w:tcPr>
          <w:p w14:paraId="35B6D8DD" w14:textId="0C30FFE1" w:rsidR="00422A2A" w:rsidRPr="00945F64" w:rsidDel="00C730F8" w:rsidRDefault="00422A2A" w:rsidP="00945F64">
            <w:pPr>
              <w:jc w:val="both"/>
              <w:rPr>
                <w:rFonts w:ascii="Times New Roman" w:hAnsi="Times New Roman" w:cs="Times New Roman"/>
                <w:sz w:val="24"/>
                <w:szCs w:val="24"/>
                <w:lang w:val="en-US"/>
              </w:rPr>
            </w:pPr>
            <w:r w:rsidRPr="00945F64">
              <w:rPr>
                <w:rFonts w:ascii="Times New Roman" w:hAnsi="Times New Roman" w:cs="Times New Roman"/>
                <w:sz w:val="24"/>
                <w:szCs w:val="24"/>
                <w:lang w:val="en-US"/>
              </w:rPr>
              <w:t>if without activation within the ISP the control area would have had energy shortage, upward direction Balancing reference price is used;</w:t>
            </w:r>
          </w:p>
        </w:tc>
        <w:tc>
          <w:tcPr>
            <w:tcW w:w="3760" w:type="dxa"/>
          </w:tcPr>
          <w:p w14:paraId="42AA5453" w14:textId="08988A42" w:rsidR="00422A2A" w:rsidRPr="00B206C8" w:rsidRDefault="00422A2A" w:rsidP="005A43AF">
            <w:pPr>
              <w:ind w:left="139"/>
              <w:jc w:val="both"/>
              <w:rPr>
                <w:rFonts w:ascii="Times New Roman" w:hAnsi="Times New Roman" w:cs="Times New Roman"/>
                <w:sz w:val="24"/>
                <w:szCs w:val="24"/>
              </w:rPr>
            </w:pPr>
            <w:r w:rsidRPr="0035353B">
              <w:rPr>
                <w:rFonts w:ascii="Times New Roman" w:hAnsi="Times New Roman" w:cs="Times New Roman"/>
                <w:sz w:val="24"/>
                <w:szCs w:val="24"/>
              </w:rPr>
              <w:t>ja bez aktivizēšanas ISP ietvaros kontroles zonā būtu bijis enerģijas deficīts, tiek izmantota virziena uz augšu Regulēšanas elektroenerģijas cena;</w:t>
            </w:r>
          </w:p>
        </w:tc>
      </w:tr>
      <w:tr w:rsidR="00F527BD" w14:paraId="197E9B01" w14:textId="77777777" w:rsidTr="00F527BD">
        <w:trPr>
          <w:trHeight w:val="1405"/>
        </w:trPr>
        <w:tc>
          <w:tcPr>
            <w:tcW w:w="1276" w:type="dxa"/>
          </w:tcPr>
          <w:p w14:paraId="129B947A" w14:textId="77777777" w:rsidR="00422A2A" w:rsidRPr="00945F64" w:rsidRDefault="00422A2A" w:rsidP="00945F64">
            <w:pPr>
              <w:pStyle w:val="Caption"/>
              <w:numPr>
                <w:ilvl w:val="2"/>
                <w:numId w:val="48"/>
              </w:numPr>
              <w:spacing w:before="0"/>
              <w:rPr>
                <w:rFonts w:ascii="Times New Roman" w:hAnsi="Times New Roman" w:cs="Times New Roman"/>
                <w:lang w:val="en-US"/>
              </w:rPr>
            </w:pPr>
          </w:p>
        </w:tc>
        <w:tc>
          <w:tcPr>
            <w:tcW w:w="3890" w:type="dxa"/>
          </w:tcPr>
          <w:p w14:paraId="3929B411" w14:textId="61E7BF1D" w:rsidR="00422A2A" w:rsidRPr="00945F64" w:rsidRDefault="00422A2A" w:rsidP="00945F64">
            <w:pPr>
              <w:jc w:val="both"/>
              <w:rPr>
                <w:rFonts w:ascii="Times New Roman" w:hAnsi="Times New Roman" w:cs="Times New Roman"/>
                <w:sz w:val="24"/>
                <w:szCs w:val="24"/>
                <w:lang w:val="en-US"/>
              </w:rPr>
            </w:pPr>
            <w:r w:rsidRPr="00945F64">
              <w:rPr>
                <w:rFonts w:ascii="Times New Roman" w:hAnsi="Times New Roman" w:cs="Times New Roman"/>
                <w:sz w:val="24"/>
                <w:szCs w:val="24"/>
                <w:lang w:val="en-US"/>
              </w:rPr>
              <w:t>if without activation within the ISP control area would have had energy surplus, downward direction Balancing reference price is used;</w:t>
            </w:r>
          </w:p>
          <w:p w14:paraId="7A42C08F" w14:textId="304580B9" w:rsidR="00422A2A" w:rsidRPr="0030041C" w:rsidDel="00C730F8" w:rsidRDefault="00422A2A" w:rsidP="005A43AF">
            <w:pPr>
              <w:jc w:val="both"/>
              <w:rPr>
                <w:rFonts w:ascii="Times New Roman" w:hAnsi="Times New Roman" w:cs="Times New Roman"/>
                <w:sz w:val="24"/>
                <w:szCs w:val="24"/>
                <w:lang w:val="en-US"/>
              </w:rPr>
            </w:pPr>
          </w:p>
        </w:tc>
        <w:tc>
          <w:tcPr>
            <w:tcW w:w="3760" w:type="dxa"/>
          </w:tcPr>
          <w:p w14:paraId="6DE230FF" w14:textId="2D615CF3" w:rsidR="00422A2A" w:rsidRPr="00B206C8" w:rsidRDefault="00422A2A" w:rsidP="005A43AF">
            <w:pPr>
              <w:ind w:left="139"/>
              <w:jc w:val="both"/>
              <w:rPr>
                <w:rFonts w:ascii="Times New Roman" w:hAnsi="Times New Roman" w:cs="Times New Roman"/>
                <w:sz w:val="24"/>
                <w:szCs w:val="24"/>
              </w:rPr>
            </w:pPr>
            <w:r w:rsidRPr="0035353B">
              <w:rPr>
                <w:rFonts w:ascii="Times New Roman" w:hAnsi="Times New Roman" w:cs="Times New Roman"/>
                <w:sz w:val="24"/>
                <w:szCs w:val="24"/>
              </w:rPr>
              <w:t>ja bez aktivizēšanas ISP kontroles zonā būtu bijis enerģijas pārpalikums, tiek izmantota Regulēšanas elektroenerģijas cena virzienā uz leju.</w:t>
            </w:r>
          </w:p>
        </w:tc>
      </w:tr>
      <w:tr w:rsidR="00F527BD" w14:paraId="0E4FA85C" w14:textId="77777777" w:rsidTr="00F527BD">
        <w:tc>
          <w:tcPr>
            <w:tcW w:w="1276" w:type="dxa"/>
          </w:tcPr>
          <w:p w14:paraId="7697BE8F" w14:textId="4D0711B4" w:rsidR="00422A2A" w:rsidRPr="00941DA8" w:rsidRDefault="00945F64" w:rsidP="00945F64">
            <w:pPr>
              <w:pStyle w:val="Point0number"/>
              <w:numPr>
                <w:ilvl w:val="0"/>
                <w:numId w:val="0"/>
              </w:numPr>
              <w:tabs>
                <w:tab w:val="left" w:pos="720"/>
              </w:tabs>
              <w:spacing w:before="0" w:after="0"/>
              <w:ind w:left="850" w:hanging="850"/>
              <w:jc w:val="center"/>
              <w:rPr>
                <w:b/>
                <w:bCs/>
                <w:szCs w:val="24"/>
                <w:lang w:val="en-US"/>
              </w:rPr>
            </w:pPr>
            <w:r>
              <w:rPr>
                <w:b/>
                <w:bCs/>
                <w:szCs w:val="24"/>
                <w:lang w:val="en-US"/>
              </w:rPr>
              <w:t>8.</w:t>
            </w:r>
          </w:p>
        </w:tc>
        <w:tc>
          <w:tcPr>
            <w:tcW w:w="3890" w:type="dxa"/>
          </w:tcPr>
          <w:p w14:paraId="56BB3B53" w14:textId="759BD719" w:rsidR="00422A2A" w:rsidRPr="00941DA8" w:rsidRDefault="00422A2A" w:rsidP="00945F64">
            <w:pPr>
              <w:pStyle w:val="Point0number"/>
              <w:numPr>
                <w:ilvl w:val="0"/>
                <w:numId w:val="0"/>
              </w:numPr>
              <w:tabs>
                <w:tab w:val="left" w:pos="720"/>
              </w:tabs>
              <w:spacing w:before="0" w:after="0"/>
              <w:rPr>
                <w:rFonts w:eastAsia="Times New Roman"/>
                <w:b/>
                <w:bCs/>
                <w:szCs w:val="24"/>
                <w:lang w:val="en-US"/>
              </w:rPr>
            </w:pPr>
            <w:r w:rsidRPr="00941DA8">
              <w:rPr>
                <w:b/>
                <w:bCs/>
                <w:szCs w:val="24"/>
                <w:lang w:val="en-US"/>
              </w:rPr>
              <w:t>Balancing energy and payment determination</w:t>
            </w:r>
          </w:p>
        </w:tc>
        <w:tc>
          <w:tcPr>
            <w:tcW w:w="3760" w:type="dxa"/>
          </w:tcPr>
          <w:p w14:paraId="67DFC32E" w14:textId="43E41E8A" w:rsidR="00422A2A" w:rsidRPr="0030041C" w:rsidRDefault="00422A2A" w:rsidP="005A43AF">
            <w:pPr>
              <w:jc w:val="center"/>
              <w:rPr>
                <w:rFonts w:ascii="Times New Roman" w:hAnsi="Times New Roman" w:cs="Times New Roman"/>
                <w:b/>
                <w:bCs/>
                <w:sz w:val="24"/>
                <w:szCs w:val="24"/>
              </w:rPr>
            </w:pPr>
            <w:r w:rsidRPr="0030041C">
              <w:rPr>
                <w:rFonts w:ascii="Times New Roman" w:hAnsi="Times New Roman" w:cs="Times New Roman"/>
                <w:b/>
                <w:bCs/>
                <w:sz w:val="24"/>
                <w:szCs w:val="24"/>
              </w:rPr>
              <w:t>Regulēšanas enerģijas un maksas noteikšana</w:t>
            </w:r>
          </w:p>
        </w:tc>
      </w:tr>
      <w:tr w:rsidR="00F527BD" w14:paraId="35EC066E" w14:textId="77777777" w:rsidTr="00F527BD">
        <w:tc>
          <w:tcPr>
            <w:tcW w:w="1276" w:type="dxa"/>
          </w:tcPr>
          <w:p w14:paraId="76EBA996" w14:textId="77777777" w:rsidR="00422A2A" w:rsidRPr="000A63BC" w:rsidRDefault="00422A2A" w:rsidP="005A43AF">
            <w:pPr>
              <w:pStyle w:val="Bullet01"/>
              <w:numPr>
                <w:ilvl w:val="1"/>
                <w:numId w:val="58"/>
              </w:numPr>
              <w:spacing w:before="0" w:beforeAutospacing="0" w:line="240" w:lineRule="auto"/>
              <w:rPr>
                <w:lang w:val="en-US"/>
              </w:rPr>
            </w:pPr>
          </w:p>
        </w:tc>
        <w:tc>
          <w:tcPr>
            <w:tcW w:w="3890" w:type="dxa"/>
          </w:tcPr>
          <w:p w14:paraId="18770BCC" w14:textId="3676641E" w:rsidR="00422A2A" w:rsidRDefault="00422A2A" w:rsidP="00945F64">
            <w:pPr>
              <w:pStyle w:val="Bullet01"/>
              <w:numPr>
                <w:ilvl w:val="0"/>
                <w:numId w:val="0"/>
              </w:numPr>
              <w:spacing w:before="0" w:beforeAutospacing="0" w:line="240" w:lineRule="auto"/>
              <w:ind w:left="170"/>
              <w:rPr>
                <w:lang w:val="en-US"/>
              </w:rPr>
            </w:pPr>
            <w:r w:rsidRPr="000A63BC">
              <w:rPr>
                <w:lang w:val="en-US"/>
              </w:rPr>
              <w:t xml:space="preserve">The determination of the </w:t>
            </w:r>
            <w:proofErr w:type="spellStart"/>
            <w:r w:rsidRPr="000A63BC">
              <w:rPr>
                <w:lang w:val="en-US"/>
              </w:rPr>
              <w:t>mFRR</w:t>
            </w:r>
            <w:proofErr w:type="spellEnd"/>
            <w:r w:rsidRPr="000A63BC">
              <w:rPr>
                <w:lang w:val="en-US"/>
              </w:rPr>
              <w:t xml:space="preserve"> </w:t>
            </w:r>
            <w:r>
              <w:rPr>
                <w:lang w:val="en-US"/>
              </w:rPr>
              <w:t>balancing</w:t>
            </w:r>
            <w:r w:rsidRPr="000A63BC">
              <w:rPr>
                <w:lang w:val="en-US"/>
              </w:rPr>
              <w:t xml:space="preserve"> energy and </w:t>
            </w:r>
            <w:r>
              <w:rPr>
                <w:lang w:val="en-US"/>
              </w:rPr>
              <w:t>payment</w:t>
            </w:r>
            <w:r w:rsidRPr="000A63BC">
              <w:rPr>
                <w:lang w:val="en-US"/>
              </w:rPr>
              <w:t xml:space="preserve"> shall be made as follows:</w:t>
            </w:r>
          </w:p>
        </w:tc>
        <w:tc>
          <w:tcPr>
            <w:tcW w:w="3760" w:type="dxa"/>
          </w:tcPr>
          <w:p w14:paraId="2A0C537F" w14:textId="4608557C"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mFRR</w:t>
            </w:r>
            <w:proofErr w:type="spellEnd"/>
            <w:r w:rsidRPr="0030041C">
              <w:rPr>
                <w:rFonts w:ascii="Times New Roman" w:hAnsi="Times New Roman" w:cs="Times New Roman"/>
                <w:sz w:val="24"/>
                <w:szCs w:val="24"/>
              </w:rPr>
              <w:t xml:space="preserve"> regulēšanas enerģijas un maksas noteikšana tiek veikta šādi:</w:t>
            </w:r>
          </w:p>
        </w:tc>
      </w:tr>
      <w:tr w:rsidR="00F527BD" w14:paraId="659AF23F" w14:textId="77777777" w:rsidTr="00F527BD">
        <w:tc>
          <w:tcPr>
            <w:tcW w:w="1276" w:type="dxa"/>
          </w:tcPr>
          <w:p w14:paraId="2DDC56DD" w14:textId="6F71D5C4" w:rsidR="00422A2A" w:rsidRPr="00941DA8" w:rsidRDefault="00945F64" w:rsidP="00945F64">
            <w:pPr>
              <w:pStyle w:val="Bullet01"/>
              <w:numPr>
                <w:ilvl w:val="0"/>
                <w:numId w:val="0"/>
              </w:numPr>
              <w:spacing w:before="0" w:beforeAutospacing="0" w:line="240" w:lineRule="auto"/>
              <w:ind w:left="170"/>
              <w:rPr>
                <w:lang w:val="en-US"/>
              </w:rPr>
            </w:pPr>
            <w:r>
              <w:rPr>
                <w:lang w:val="en-US"/>
              </w:rPr>
              <w:t>8.1.1.</w:t>
            </w:r>
          </w:p>
        </w:tc>
        <w:tc>
          <w:tcPr>
            <w:tcW w:w="3890" w:type="dxa"/>
          </w:tcPr>
          <w:p w14:paraId="46E0438F" w14:textId="49D5E5C3" w:rsidR="00422A2A" w:rsidRPr="00941DA8" w:rsidRDefault="00422A2A" w:rsidP="00945F64">
            <w:pPr>
              <w:pStyle w:val="Point0number"/>
              <w:numPr>
                <w:ilvl w:val="0"/>
                <w:numId w:val="0"/>
              </w:numPr>
              <w:spacing w:before="0" w:after="0"/>
              <w:rPr>
                <w:rFonts w:eastAsia="Times New Roman"/>
                <w:szCs w:val="24"/>
                <w:lang w:val="en-US"/>
              </w:rPr>
            </w:pPr>
            <w:r w:rsidRPr="00941DA8">
              <w:rPr>
                <w:rFonts w:eastAsia="Times New Roman"/>
                <w:szCs w:val="24"/>
                <w:lang w:val="en-US"/>
              </w:rPr>
              <w:t xml:space="preserve">The amount of the </w:t>
            </w:r>
            <w:proofErr w:type="spellStart"/>
            <w:r w:rsidRPr="00941DA8">
              <w:rPr>
                <w:rFonts w:eastAsia="Times New Roman"/>
                <w:szCs w:val="24"/>
                <w:lang w:val="en-US"/>
              </w:rPr>
              <w:t>mFRR</w:t>
            </w:r>
            <w:proofErr w:type="spellEnd"/>
            <w:r w:rsidRPr="00941DA8">
              <w:rPr>
                <w:rFonts w:eastAsia="Times New Roman"/>
                <w:szCs w:val="24"/>
                <w:lang w:val="en-US"/>
              </w:rPr>
              <w:t xml:space="preserve"> balancing energy of the bid purchased or sold by the TSO in the control area, delivered as normal activation, normal local </w:t>
            </w:r>
            <w:r w:rsidRPr="00B206C8">
              <w:rPr>
                <w:rFonts w:eastAsia="Times New Roman"/>
                <w:szCs w:val="24"/>
                <w:lang w:val="en-US"/>
              </w:rPr>
              <w:t>activation or special activation, is calculated as the product of the activated balancing bid power and the activation</w:t>
            </w:r>
            <w:r w:rsidRPr="00941DA8">
              <w:rPr>
                <w:rFonts w:eastAsia="Times New Roman"/>
                <w:szCs w:val="24"/>
                <w:lang w:val="en-US"/>
              </w:rPr>
              <w:t xml:space="preserve"> period within the MTU (from the start time fixed in the activation order to the end of the activation in the MTU) for each balancing product </w:t>
            </w:r>
          </w:p>
          <w:p w14:paraId="248CAB87" w14:textId="77777777" w:rsidR="00422A2A" w:rsidRPr="00941DA8" w:rsidRDefault="00422A2A" w:rsidP="005A43AF">
            <w:pPr>
              <w:pStyle w:val="Point0number"/>
              <w:numPr>
                <w:ilvl w:val="0"/>
                <w:numId w:val="0"/>
              </w:numPr>
              <w:tabs>
                <w:tab w:val="left" w:pos="720"/>
              </w:tabs>
              <w:spacing w:before="0" w:after="0"/>
              <w:rPr>
                <w:rFonts w:eastAsia="Times New Roman"/>
                <w:szCs w:val="24"/>
                <w:lang w:val="en-US"/>
              </w:rPr>
            </w:pPr>
            <w:r w:rsidRPr="00941DA8">
              <w:rPr>
                <w:rFonts w:eastAsia="Times New Roman"/>
                <w:szCs w:val="24"/>
                <w:lang w:val="en-US"/>
              </w:rPr>
              <w:t>as follows:</w:t>
            </w:r>
          </w:p>
          <w:p w14:paraId="439D2712"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SA</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MTU1</m:t>
                  </m:r>
                </m:sub>
              </m:sSub>
              <m:r>
                <w:rPr>
                  <w:rFonts w:ascii="Cambria Math" w:hAnsi="Cambria Math" w:cs="Times New Roman"/>
                  <w:sz w:val="24"/>
                  <w:lang w:val="en-GB"/>
                </w:rPr>
                <m:t>*P</m:t>
              </m:r>
            </m:oMath>
            <w:r w:rsidRPr="00941DA8">
              <w:rPr>
                <w:rFonts w:ascii="Times New Roman" w:hAnsi="Times New Roman" w:cs="Times New Roman"/>
                <w:sz w:val="24"/>
                <w:lang w:val="en-GB"/>
              </w:rPr>
              <w:t xml:space="preserve"> ,</w:t>
            </w:r>
          </w:p>
          <w:p w14:paraId="7EF0ACE2"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DA1</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m:t>
                  </m:r>
                  <m:sSub>
                    <m:sSubPr>
                      <m:ctrlPr>
                        <w:rPr>
                          <w:rFonts w:ascii="Cambria Math" w:hAnsi="Cambria Math" w:cs="Times New Roman"/>
                          <w:i/>
                          <w:sz w:val="24"/>
                          <w:lang w:val="en-GB"/>
                        </w:rPr>
                      </m:ctrlPr>
                    </m:sSubPr>
                    <m:e>
                      <m:r>
                        <w:rPr>
                          <w:rFonts w:ascii="Cambria Math" w:hAnsi="Cambria Math" w:cs="Times New Roman"/>
                          <w:sz w:val="24"/>
                          <w:lang w:val="en-GB"/>
                        </w:rPr>
                        <m:t>1</m:t>
                      </m:r>
                    </m:e>
                    <m:sub>
                      <m:r>
                        <w:rPr>
                          <w:rFonts w:ascii="Cambria Math" w:hAnsi="Cambria Math" w:cs="Times New Roman"/>
                          <w:sz w:val="24"/>
                          <w:lang w:val="en-GB"/>
                        </w:rPr>
                        <m:t>1</m:t>
                      </m:r>
                    </m:sub>
                  </m:sSub>
                </m:sub>
              </m:sSub>
              <m:r>
                <w:rPr>
                  <w:rFonts w:ascii="Cambria Math" w:hAnsi="Cambria Math" w:cs="Times New Roman"/>
                  <w:sz w:val="24"/>
                  <w:lang w:val="en-GB"/>
                </w:rPr>
                <m:t>*P</m:t>
              </m:r>
            </m:oMath>
            <w:r w:rsidRPr="00941DA8">
              <w:rPr>
                <w:rFonts w:ascii="Times New Roman" w:hAnsi="Times New Roman" w:cs="Times New Roman"/>
                <w:sz w:val="24"/>
                <w:lang w:val="en-GB"/>
              </w:rPr>
              <w:t xml:space="preserve"> ,</w:t>
            </w:r>
          </w:p>
          <w:p w14:paraId="72256803"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MTU2</m:t>
                  </m:r>
                </m:sub>
              </m:sSub>
              <m:r>
                <w:rPr>
                  <w:rFonts w:ascii="Cambria Math" w:hAnsi="Cambria Math" w:cs="Times New Roman"/>
                  <w:sz w:val="24"/>
                  <w:lang w:val="en-GB"/>
                </w:rPr>
                <m:t>*P</m:t>
              </m:r>
            </m:oMath>
            <w:r w:rsidRPr="00941DA8">
              <w:rPr>
                <w:rFonts w:ascii="Times New Roman" w:hAnsi="Times New Roman" w:cs="Times New Roman"/>
                <w:sz w:val="24"/>
                <w:lang w:val="en-GB"/>
              </w:rPr>
              <w:t xml:space="preserve"> ,</w:t>
            </w:r>
          </w:p>
          <w:p w14:paraId="20143C7E"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w:proofErr w:type="gramStart"/>
            <w:r w:rsidRPr="00941DA8">
              <w:rPr>
                <w:rFonts w:ascii="Times New Roman" w:hAnsi="Times New Roman" w:cs="Times New Roman"/>
                <w:sz w:val="24"/>
                <w:lang w:val="en-GB"/>
              </w:rPr>
              <w:t>where</w:t>
            </w:r>
            <w:proofErr w:type="gramEnd"/>
          </w:p>
          <w:p w14:paraId="43617BEC"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SA</m:t>
                  </m:r>
                </m:sub>
              </m:sSub>
            </m:oMath>
            <w:r w:rsidRPr="00941DA8">
              <w:rPr>
                <w:rFonts w:ascii="Times New Roman" w:hAnsi="Times New Roman" w:cs="Times New Roman"/>
                <w:sz w:val="24"/>
                <w:lang w:val="en-GB"/>
              </w:rPr>
              <w:t xml:space="preserve"> – the amount of the mFRR balancing energy of the bid purchased or sold by the TSO in the control area, delivered as normal activation, normal local activation, or special activation with SA type in the respective mFRR MTU (MWh);</w:t>
            </w:r>
          </w:p>
          <w:p w14:paraId="0DDBF7E3"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DA1</m:t>
                  </m:r>
                </m:sub>
              </m:sSub>
            </m:oMath>
            <w:r w:rsidRPr="00941DA8">
              <w:rPr>
                <w:rFonts w:ascii="Times New Roman" w:hAnsi="Times New Roman" w:cs="Times New Roman"/>
                <w:sz w:val="24"/>
                <w:lang w:val="en-GB"/>
              </w:rPr>
              <w:t xml:space="preserve"> – the amount of the mFRR balancing energy of the bid purchased or sold by the TSO in the control area, delivered as normal activation, normal local activation, or special activation with DA type within the respective mFRR MTU (from the start time fixed in the activation order to the end of the respective mFRR MTU) (MWh);</w:t>
            </w:r>
          </w:p>
          <w:p w14:paraId="4AC16933"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oMath>
            <w:r w:rsidRPr="00941DA8">
              <w:rPr>
                <w:rFonts w:ascii="Times New Roman" w:hAnsi="Times New Roman" w:cs="Times New Roman"/>
                <w:sz w:val="24"/>
                <w:lang w:val="en-GB"/>
              </w:rPr>
              <w:t xml:space="preserve"> – the amount of the mFRR balancing energy of the bid purchased or sold by the TSO in the control area, delivered as normal activation, normal local activation, or special activation with DA type in the subsequent mFRR MTU (MWh);</w:t>
            </w:r>
          </w:p>
          <w:p w14:paraId="78EDAA08"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MTU1</m:t>
                  </m:r>
                </m:sub>
              </m:sSub>
            </m:oMath>
            <w:r w:rsidRPr="00941DA8">
              <w:rPr>
                <w:rFonts w:ascii="Times New Roman" w:hAnsi="Times New Roman" w:cs="Times New Roman"/>
                <w:sz w:val="24"/>
                <w:lang w:val="en-GB"/>
              </w:rPr>
              <w:t xml:space="preserve"> – respective mFRR MTU (h);</w:t>
            </w:r>
          </w:p>
          <w:p w14:paraId="50A0F34F"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m:t>
                  </m:r>
                  <m:sSub>
                    <m:sSubPr>
                      <m:ctrlPr>
                        <w:rPr>
                          <w:rFonts w:ascii="Cambria Math" w:hAnsi="Cambria Math" w:cs="Times New Roman"/>
                          <w:i/>
                          <w:sz w:val="24"/>
                          <w:lang w:val="en-GB"/>
                        </w:rPr>
                      </m:ctrlPr>
                    </m:sSubPr>
                    <m:e>
                      <m:r>
                        <w:rPr>
                          <w:rFonts w:ascii="Cambria Math" w:hAnsi="Cambria Math" w:cs="Times New Roman"/>
                          <w:sz w:val="24"/>
                          <w:lang w:val="en-GB"/>
                        </w:rPr>
                        <m:t>1</m:t>
                      </m:r>
                    </m:e>
                    <m:sub>
                      <m:r>
                        <w:rPr>
                          <w:rFonts w:ascii="Cambria Math" w:hAnsi="Cambria Math" w:cs="Times New Roman"/>
                          <w:sz w:val="24"/>
                          <w:lang w:val="en-GB"/>
                        </w:rPr>
                        <m:t>1</m:t>
                      </m:r>
                    </m:sub>
                  </m:sSub>
                </m:sub>
              </m:sSub>
            </m:oMath>
            <w:r w:rsidRPr="00941DA8">
              <w:rPr>
                <w:rFonts w:ascii="Times New Roman" w:hAnsi="Times New Roman" w:cs="Times New Roman"/>
                <w:sz w:val="24"/>
                <w:lang w:val="en-GB"/>
              </w:rPr>
              <w:t xml:space="preserve"> – DA period within the respective mFRR MTU(h);</w:t>
            </w:r>
          </w:p>
          <w:p w14:paraId="49A30806"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MTU2</m:t>
                  </m:r>
                </m:sub>
              </m:sSub>
            </m:oMath>
            <w:r w:rsidRPr="00941DA8">
              <w:rPr>
                <w:rFonts w:ascii="Times New Roman" w:hAnsi="Times New Roman" w:cs="Times New Roman"/>
                <w:sz w:val="24"/>
                <w:lang w:val="en-GB"/>
              </w:rPr>
              <w:t xml:space="preserve"> – subsequent mFRR MTU (h);</w:t>
            </w:r>
          </w:p>
          <w:p w14:paraId="0E779E5B"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r>
                <w:rPr>
                  <w:rFonts w:ascii="Cambria Math" w:hAnsi="Cambria Math" w:cs="Times New Roman"/>
                  <w:sz w:val="24"/>
                  <w:lang w:val="en-GB"/>
                </w:rPr>
                <m:t>P</m:t>
              </m:r>
            </m:oMath>
            <w:r w:rsidRPr="00941DA8">
              <w:rPr>
                <w:rFonts w:ascii="Times New Roman" w:hAnsi="Times New Roman" w:cs="Times New Roman"/>
                <w:sz w:val="24"/>
                <w:lang w:val="en-GB"/>
              </w:rPr>
              <w:t xml:space="preserve"> – balancing power requested in the TSO activation order (MW).</w:t>
            </w:r>
          </w:p>
          <w:p w14:paraId="20FA9370" w14:textId="79B83018" w:rsidR="00422A2A" w:rsidRPr="00941DA8" w:rsidRDefault="00422A2A" w:rsidP="005A43AF">
            <w:pPr>
              <w:pStyle w:val="Point0number"/>
              <w:numPr>
                <w:ilvl w:val="0"/>
                <w:numId w:val="0"/>
              </w:numPr>
              <w:tabs>
                <w:tab w:val="left" w:pos="720"/>
              </w:tabs>
              <w:spacing w:before="0" w:after="0"/>
              <w:rPr>
                <w:rFonts w:eastAsia="Times New Roman"/>
                <w:b/>
                <w:bCs/>
                <w:szCs w:val="24"/>
                <w:lang w:val="en-US"/>
              </w:rPr>
            </w:pPr>
          </w:p>
        </w:tc>
        <w:tc>
          <w:tcPr>
            <w:tcW w:w="3760" w:type="dxa"/>
          </w:tcPr>
          <w:p w14:paraId="2872018B" w14:textId="25EA17A4"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lastRenderedPageBreak/>
              <w:t xml:space="preserve">PSO kontroles zonā pirktās vai pārdotās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regulēšanas enerģijas apjoms, kas piegādāts, veicot normālo aktivizāciju, normālo lokālo aktivizāciju vai speciālo aktivizāciju, tiek aprēķināts kā aktivizētās solījuma jaudas un aktivizācijas perioda reizinājums attiecīgā MTU ietvaros (no aktivizācijas komandā noteiktā sākuma laika līdz aktivizācijas beigām MTU ietvaros) katram aktivizācijas veidam šādi:</w:t>
            </w:r>
          </w:p>
          <w:p w14:paraId="38B1F741" w14:textId="77777777" w:rsidR="00422A2A" w:rsidRPr="00941DA8" w:rsidRDefault="00422A2A" w:rsidP="005A43AF">
            <w:pPr>
              <w:jc w:val="both"/>
              <w:rPr>
                <w:rFonts w:ascii="Times New Roman" w:hAnsi="Times New Roman" w:cs="Times New Roman"/>
                <w:b/>
                <w:bCs/>
                <w:sz w:val="24"/>
                <w:szCs w:val="24"/>
              </w:rPr>
            </w:pPr>
          </w:p>
          <w:p w14:paraId="1E675693" w14:textId="77777777" w:rsidR="00422A2A" w:rsidRPr="00941DA8" w:rsidRDefault="00422A2A" w:rsidP="005A43AF">
            <w:pPr>
              <w:pStyle w:val="Paragraphe"/>
              <w:spacing w:before="0" w:after="0"/>
              <w:ind w:left="357" w:firstLine="720"/>
              <w:rPr>
                <w:rFonts w:ascii="Times New Roman" w:hAnsi="Times New Roman" w:cs="Times New Roman"/>
                <w:sz w:val="24"/>
                <w:lang w:val="lv-LV"/>
              </w:rPr>
            </w:pPr>
            <m:oMath>
              <m:sSub>
                <m:sSubPr>
                  <m:ctrlPr>
                    <w:rPr>
                      <w:rFonts w:ascii="Cambria Math" w:hAnsi="Cambria Math" w:cs="Times New Roman"/>
                      <w:i/>
                      <w:sz w:val="24"/>
                      <w:lang w:val="en-GB"/>
                    </w:rPr>
                  </m:ctrlPr>
                </m:sSubPr>
                <m:e>
                  <m:r>
                    <w:rPr>
                      <w:rFonts w:ascii="Cambria Math" w:hAnsi="Cambria Math" w:cs="Times New Roman"/>
                      <w:sz w:val="24"/>
                      <w:lang w:val="lv-LV"/>
                    </w:rPr>
                    <m:t>E</m:t>
                  </m:r>
                </m:e>
                <m:sub>
                  <m:r>
                    <w:rPr>
                      <w:rFonts w:ascii="Cambria Math" w:hAnsi="Cambria Math" w:cs="Times New Roman"/>
                      <w:sz w:val="24"/>
                      <w:lang w:val="lv-LV"/>
                    </w:rPr>
                    <m:t>SA</m:t>
                  </m:r>
                </m:sub>
              </m:sSub>
              <m:r>
                <w:rPr>
                  <w:rFonts w:ascii="Cambria Math" w:hAnsi="Cambria Math" w:cs="Times New Roman"/>
                  <w:sz w:val="24"/>
                  <w:lang w:val="lv-LV"/>
                </w:rPr>
                <m:t>=</m:t>
              </m:r>
              <m:sSub>
                <m:sSubPr>
                  <m:ctrlPr>
                    <w:rPr>
                      <w:rFonts w:ascii="Cambria Math" w:hAnsi="Cambria Math" w:cs="Times New Roman"/>
                      <w:i/>
                      <w:sz w:val="24"/>
                      <w:lang w:val="en-GB"/>
                    </w:rPr>
                  </m:ctrlPr>
                </m:sSubPr>
                <m:e>
                  <m:r>
                    <w:rPr>
                      <w:rFonts w:ascii="Cambria Math" w:hAnsi="Cambria Math" w:cs="Times New Roman"/>
                      <w:sz w:val="24"/>
                      <w:lang w:val="lv-LV"/>
                    </w:rPr>
                    <m:t>h</m:t>
                  </m:r>
                </m:e>
                <m:sub>
                  <m:r>
                    <w:rPr>
                      <w:rFonts w:ascii="Cambria Math" w:hAnsi="Cambria Math" w:cs="Times New Roman"/>
                      <w:sz w:val="24"/>
                      <w:lang w:val="lv-LV"/>
                    </w:rPr>
                    <m:t>MTU1</m:t>
                  </m:r>
                </m:sub>
              </m:sSub>
              <m:r>
                <w:rPr>
                  <w:rFonts w:ascii="Cambria Math" w:hAnsi="Cambria Math" w:cs="Times New Roman"/>
                  <w:sz w:val="24"/>
                  <w:lang w:val="lv-LV"/>
                </w:rPr>
                <m:t>*P</m:t>
              </m:r>
            </m:oMath>
            <w:r w:rsidRPr="00941DA8">
              <w:rPr>
                <w:rFonts w:ascii="Times New Roman" w:hAnsi="Times New Roman" w:cs="Times New Roman"/>
                <w:sz w:val="24"/>
                <w:lang w:val="lv-LV"/>
              </w:rPr>
              <w:t xml:space="preserve"> ,</w:t>
            </w:r>
          </w:p>
          <w:p w14:paraId="7D7116B2" w14:textId="77777777" w:rsidR="00422A2A" w:rsidRPr="00941DA8" w:rsidRDefault="00422A2A" w:rsidP="005A43AF">
            <w:pPr>
              <w:pStyle w:val="Paragraphe"/>
              <w:spacing w:before="0" w:after="0"/>
              <w:ind w:left="357" w:firstLine="720"/>
              <w:rPr>
                <w:rFonts w:ascii="Times New Roman" w:hAnsi="Times New Roman" w:cs="Times New Roman"/>
                <w:sz w:val="24"/>
                <w:lang w:val="lv-LV"/>
              </w:rPr>
            </w:pPr>
            <m:oMath>
              <m:sSub>
                <m:sSubPr>
                  <m:ctrlPr>
                    <w:rPr>
                      <w:rFonts w:ascii="Cambria Math" w:hAnsi="Cambria Math" w:cs="Times New Roman"/>
                      <w:i/>
                      <w:sz w:val="24"/>
                      <w:lang w:val="en-GB"/>
                    </w:rPr>
                  </m:ctrlPr>
                </m:sSubPr>
                <m:e>
                  <m:r>
                    <w:rPr>
                      <w:rFonts w:ascii="Cambria Math" w:hAnsi="Cambria Math" w:cs="Times New Roman"/>
                      <w:sz w:val="24"/>
                      <w:lang w:val="lv-LV"/>
                    </w:rPr>
                    <m:t>E</m:t>
                  </m:r>
                </m:e>
                <m:sub>
                  <m:r>
                    <w:rPr>
                      <w:rFonts w:ascii="Cambria Math" w:hAnsi="Cambria Math" w:cs="Times New Roman"/>
                      <w:sz w:val="24"/>
                      <w:lang w:val="lv-LV"/>
                    </w:rPr>
                    <m:t>DA1</m:t>
                  </m:r>
                </m:sub>
              </m:sSub>
              <m:r>
                <w:rPr>
                  <w:rFonts w:ascii="Cambria Math" w:hAnsi="Cambria Math" w:cs="Times New Roman"/>
                  <w:sz w:val="24"/>
                  <w:lang w:val="lv-LV"/>
                </w:rPr>
                <m:t>=</m:t>
              </m:r>
              <m:sSub>
                <m:sSubPr>
                  <m:ctrlPr>
                    <w:rPr>
                      <w:rFonts w:ascii="Cambria Math" w:hAnsi="Cambria Math" w:cs="Times New Roman"/>
                      <w:i/>
                      <w:sz w:val="24"/>
                      <w:lang w:val="en-GB"/>
                    </w:rPr>
                  </m:ctrlPr>
                </m:sSubPr>
                <m:e>
                  <m:r>
                    <w:rPr>
                      <w:rFonts w:ascii="Cambria Math" w:hAnsi="Cambria Math" w:cs="Times New Roman"/>
                      <w:sz w:val="24"/>
                      <w:lang w:val="lv-LV"/>
                    </w:rPr>
                    <m:t>h</m:t>
                  </m:r>
                </m:e>
                <m:sub>
                  <m:r>
                    <w:rPr>
                      <w:rFonts w:ascii="Cambria Math" w:hAnsi="Cambria Math" w:cs="Times New Roman"/>
                      <w:sz w:val="24"/>
                      <w:lang w:val="lv-LV"/>
                    </w:rPr>
                    <m:t>MTU</m:t>
                  </m:r>
                  <m:sSub>
                    <m:sSubPr>
                      <m:ctrlPr>
                        <w:rPr>
                          <w:rFonts w:ascii="Cambria Math" w:hAnsi="Cambria Math" w:cs="Times New Roman"/>
                          <w:i/>
                          <w:sz w:val="24"/>
                          <w:lang w:val="en-GB"/>
                        </w:rPr>
                      </m:ctrlPr>
                    </m:sSubPr>
                    <m:e>
                      <m:r>
                        <w:rPr>
                          <w:rFonts w:ascii="Cambria Math" w:hAnsi="Cambria Math" w:cs="Times New Roman"/>
                          <w:sz w:val="24"/>
                          <w:lang w:val="lv-LV"/>
                        </w:rPr>
                        <m:t>1</m:t>
                      </m:r>
                    </m:e>
                    <m:sub>
                      <m:r>
                        <w:rPr>
                          <w:rFonts w:ascii="Cambria Math" w:hAnsi="Cambria Math" w:cs="Times New Roman"/>
                          <w:sz w:val="24"/>
                          <w:lang w:val="lv-LV"/>
                        </w:rPr>
                        <m:t>1</m:t>
                      </m:r>
                    </m:sub>
                  </m:sSub>
                </m:sub>
              </m:sSub>
              <m:r>
                <w:rPr>
                  <w:rFonts w:ascii="Cambria Math" w:hAnsi="Cambria Math" w:cs="Times New Roman"/>
                  <w:sz w:val="24"/>
                  <w:lang w:val="lv-LV"/>
                </w:rPr>
                <m:t>*P</m:t>
              </m:r>
            </m:oMath>
            <w:r w:rsidRPr="00941DA8">
              <w:rPr>
                <w:rFonts w:ascii="Times New Roman" w:hAnsi="Times New Roman" w:cs="Times New Roman"/>
                <w:sz w:val="24"/>
                <w:lang w:val="lv-LV"/>
              </w:rPr>
              <w:t xml:space="preserve"> ,</w:t>
            </w:r>
          </w:p>
          <w:p w14:paraId="7680ADEF"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MTU2</m:t>
                  </m:r>
                </m:sub>
              </m:sSub>
              <m:r>
                <w:rPr>
                  <w:rFonts w:ascii="Cambria Math" w:hAnsi="Cambria Math" w:cs="Times New Roman"/>
                  <w:sz w:val="24"/>
                  <w:lang w:val="en-GB"/>
                </w:rPr>
                <m:t>*P</m:t>
              </m:r>
            </m:oMath>
            <w:r w:rsidRPr="00941DA8">
              <w:rPr>
                <w:rFonts w:ascii="Times New Roman" w:hAnsi="Times New Roman" w:cs="Times New Roman"/>
                <w:sz w:val="24"/>
                <w:lang w:val="en-GB"/>
              </w:rPr>
              <w:t xml:space="preserve"> ,</w:t>
            </w:r>
          </w:p>
          <w:p w14:paraId="419DB305" w14:textId="77777777"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t>kur</w:t>
            </w:r>
          </w:p>
          <w:p w14:paraId="2C8633F9" w14:textId="77777777" w:rsidR="00422A2A" w:rsidRPr="00941DA8" w:rsidRDefault="00422A2A" w:rsidP="005A43AF">
            <w:pPr>
              <w:jc w:val="both"/>
              <w:rPr>
                <w:rFonts w:ascii="Times New Roman" w:hAnsi="Times New Roman" w:cs="Times New Roman"/>
                <w:sz w:val="24"/>
                <w:szCs w:val="24"/>
              </w:rPr>
            </w:pPr>
          </w:p>
          <w:p w14:paraId="33849580" w14:textId="50F9765E" w:rsidR="00422A2A" w:rsidRPr="00941DA8" w:rsidRDefault="00422A2A" w:rsidP="005A43AF">
            <w:pPr>
              <w:pStyle w:val="Paragraphe"/>
              <w:spacing w:before="0" w:after="0"/>
              <w:rPr>
                <w:rFonts w:ascii="Times New Roman" w:hAnsi="Times New Roman" w:cs="Times New Roman"/>
                <w:sz w:val="24"/>
                <w:lang w:val="lv-LV"/>
              </w:rPr>
            </w:pPr>
            <m:oMath>
              <m:sSub>
                <m:sSubPr>
                  <m:ctrlPr>
                    <w:rPr>
                      <w:rFonts w:ascii="Cambria Math" w:hAnsi="Cambria Math" w:cs="Times New Roman"/>
                      <w:i/>
                      <w:sz w:val="24"/>
                      <w:lang w:val="lv-LV"/>
                    </w:rPr>
                  </m:ctrlPr>
                </m:sSubPr>
                <m:e>
                  <m:r>
                    <w:rPr>
                      <w:rFonts w:ascii="Cambria Math" w:hAnsi="Cambria Math" w:cs="Times New Roman"/>
                      <w:sz w:val="24"/>
                      <w:lang w:val="lv-LV"/>
                    </w:rPr>
                    <m:t>E</m:t>
                  </m:r>
                </m:e>
                <m:sub>
                  <m:r>
                    <w:rPr>
                      <w:rFonts w:ascii="Cambria Math" w:hAnsi="Cambria Math" w:cs="Times New Roman"/>
                      <w:sz w:val="24"/>
                      <w:lang w:val="lv-LV"/>
                    </w:rPr>
                    <m:t>SA</m:t>
                  </m:r>
                </m:sub>
              </m:sSub>
            </m:oMath>
            <w:r w:rsidRPr="00941DA8">
              <w:rPr>
                <w:rFonts w:ascii="Times New Roman" w:hAnsi="Times New Roman" w:cs="Times New Roman"/>
                <w:sz w:val="24"/>
                <w:lang w:val="lv-LV"/>
              </w:rPr>
              <w:t xml:space="preserve"> – PSO pirktās vai pārdotās mFRR regulēšanas enerģijas apjoms kontroles zonā, kas piegādāts veicot normālo aktivizāciju, normālo lokālo aktivizāciju vai speciālo aktivizāciju ar SA tipu attiecīgajā mFRR MTU (MWh);</w:t>
            </w:r>
          </w:p>
          <w:p w14:paraId="00681244" w14:textId="77777777" w:rsidR="00422A2A" w:rsidRPr="00941DA8" w:rsidRDefault="00422A2A" w:rsidP="005A43AF">
            <w:pPr>
              <w:jc w:val="both"/>
              <w:rPr>
                <w:rFonts w:ascii="Times New Roman" w:hAnsi="Times New Roman" w:cs="Times New Roman"/>
                <w:sz w:val="24"/>
                <w:szCs w:val="24"/>
              </w:rPr>
            </w:pPr>
          </w:p>
          <w:p w14:paraId="3391681C" w14:textId="1F56CA08" w:rsidR="00422A2A" w:rsidRPr="00941DA8" w:rsidRDefault="00422A2A" w:rsidP="005A43AF">
            <w:pPr>
              <w:jc w:val="both"/>
              <w:rPr>
                <w:rFonts w:ascii="Times New Roman" w:eastAsia="Times New Roman" w:hAnsi="Times New Roman" w:cs="Times New Roman"/>
                <w:kern w:val="0"/>
                <w:sz w:val="24"/>
                <w:szCs w:val="24"/>
                <w:lang w:eastAsia="fr-FR"/>
                <w14:ligatures w14:val="none"/>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E</m:t>
                  </m:r>
                </m:e>
                <m:sub>
                  <m:r>
                    <w:rPr>
                      <w:rFonts w:ascii="Cambria Math" w:hAnsi="Cambria Math" w:cs="Times New Roman"/>
                      <w:sz w:val="24"/>
                      <w:szCs w:val="24"/>
                    </w:rPr>
                    <m:t>DA1</m:t>
                  </m:r>
                </m:sub>
              </m:sSub>
            </m:oMath>
            <w:r w:rsidRPr="00941DA8">
              <w:rPr>
                <w:rFonts w:ascii="Times New Roman" w:hAnsi="Times New Roman" w:cs="Times New Roman"/>
                <w:sz w:val="24"/>
                <w:szCs w:val="24"/>
              </w:rPr>
              <w:t xml:space="preserve"> – </w:t>
            </w:r>
            <w:r w:rsidRPr="00941DA8">
              <w:rPr>
                <w:rFonts w:ascii="Times New Roman" w:eastAsia="Times New Roman" w:hAnsi="Times New Roman" w:cs="Times New Roman"/>
                <w:kern w:val="0"/>
                <w:sz w:val="24"/>
                <w:szCs w:val="24"/>
                <w:lang w:eastAsia="fr-FR"/>
                <w14:ligatures w14:val="none"/>
              </w:rPr>
              <w:t xml:space="preserve">PSO pirktās vai pārdotās </w:t>
            </w:r>
            <w:proofErr w:type="spellStart"/>
            <w:r w:rsidRPr="00941DA8">
              <w:rPr>
                <w:rFonts w:ascii="Times New Roman" w:eastAsia="Times New Roman" w:hAnsi="Times New Roman" w:cs="Times New Roman"/>
                <w:kern w:val="0"/>
                <w:sz w:val="24"/>
                <w:szCs w:val="24"/>
                <w:lang w:eastAsia="fr-FR"/>
                <w14:ligatures w14:val="none"/>
              </w:rPr>
              <w:t>mFRR</w:t>
            </w:r>
            <w:proofErr w:type="spellEnd"/>
            <w:r w:rsidRPr="00941DA8">
              <w:rPr>
                <w:rFonts w:ascii="Times New Roman" w:eastAsia="Times New Roman" w:hAnsi="Times New Roman" w:cs="Times New Roman"/>
                <w:kern w:val="0"/>
                <w:sz w:val="24"/>
                <w:szCs w:val="24"/>
                <w:lang w:eastAsia="fr-FR"/>
                <w14:ligatures w14:val="none"/>
              </w:rPr>
              <w:t xml:space="preserve"> regulēšanas enerģijas apjoms kontroles zonā, kas piegādāts </w:t>
            </w:r>
            <w:r w:rsidRPr="00941DA8">
              <w:rPr>
                <w:rFonts w:ascii="Times New Roman" w:hAnsi="Times New Roman" w:cs="Times New Roman"/>
                <w:sz w:val="24"/>
                <w:szCs w:val="24"/>
              </w:rPr>
              <w:t xml:space="preserve">veicot normālo aktivizāciju, normālo lokālo aktivizāciju vai speciālo aktivizāciju </w:t>
            </w:r>
            <w:r w:rsidRPr="00941DA8">
              <w:rPr>
                <w:rFonts w:ascii="Times New Roman" w:eastAsia="Times New Roman" w:hAnsi="Times New Roman" w:cs="Times New Roman"/>
                <w:kern w:val="0"/>
                <w:sz w:val="24"/>
                <w:szCs w:val="24"/>
                <w:lang w:eastAsia="fr-FR"/>
                <w14:ligatures w14:val="none"/>
              </w:rPr>
              <w:t xml:space="preserve">ar DA tipu attiecīgā </w:t>
            </w:r>
            <w:proofErr w:type="spellStart"/>
            <w:r w:rsidRPr="00941DA8">
              <w:rPr>
                <w:rFonts w:ascii="Times New Roman" w:eastAsia="Times New Roman" w:hAnsi="Times New Roman" w:cs="Times New Roman"/>
                <w:kern w:val="0"/>
                <w:sz w:val="24"/>
                <w:szCs w:val="24"/>
                <w:lang w:eastAsia="fr-FR"/>
                <w14:ligatures w14:val="none"/>
              </w:rPr>
              <w:t>mFRR</w:t>
            </w:r>
            <w:proofErr w:type="spellEnd"/>
            <w:r w:rsidRPr="00941DA8">
              <w:rPr>
                <w:rFonts w:ascii="Times New Roman" w:eastAsia="Times New Roman" w:hAnsi="Times New Roman" w:cs="Times New Roman"/>
                <w:kern w:val="0"/>
                <w:sz w:val="24"/>
                <w:szCs w:val="24"/>
                <w:lang w:eastAsia="fr-FR"/>
                <w14:ligatures w14:val="none"/>
              </w:rPr>
              <w:t xml:space="preserve"> MTU ietvaros (no aktivizācijas komandā fiksētā sākuma laika līdz attiecīgā </w:t>
            </w:r>
            <w:proofErr w:type="spellStart"/>
            <w:r w:rsidRPr="00941DA8">
              <w:rPr>
                <w:rFonts w:ascii="Times New Roman" w:eastAsia="Times New Roman" w:hAnsi="Times New Roman" w:cs="Times New Roman"/>
                <w:kern w:val="0"/>
                <w:sz w:val="24"/>
                <w:szCs w:val="24"/>
                <w:lang w:eastAsia="fr-FR"/>
                <w14:ligatures w14:val="none"/>
              </w:rPr>
              <w:t>mFRR</w:t>
            </w:r>
            <w:proofErr w:type="spellEnd"/>
            <w:r w:rsidRPr="00941DA8">
              <w:rPr>
                <w:rFonts w:ascii="Times New Roman" w:eastAsia="Times New Roman" w:hAnsi="Times New Roman" w:cs="Times New Roman"/>
                <w:kern w:val="0"/>
                <w:sz w:val="24"/>
                <w:szCs w:val="24"/>
                <w:lang w:eastAsia="fr-FR"/>
                <w14:ligatures w14:val="none"/>
              </w:rPr>
              <w:t xml:space="preserve"> MTU beigām) (</w:t>
            </w:r>
            <w:proofErr w:type="spellStart"/>
            <w:r w:rsidRPr="00941DA8">
              <w:rPr>
                <w:rFonts w:ascii="Times New Roman" w:eastAsia="Times New Roman" w:hAnsi="Times New Roman" w:cs="Times New Roman"/>
                <w:kern w:val="0"/>
                <w:sz w:val="24"/>
                <w:szCs w:val="24"/>
                <w:lang w:eastAsia="fr-FR"/>
                <w14:ligatures w14:val="none"/>
              </w:rPr>
              <w:t>MWh</w:t>
            </w:r>
            <w:proofErr w:type="spellEnd"/>
            <w:r w:rsidRPr="00941DA8">
              <w:rPr>
                <w:rFonts w:ascii="Times New Roman" w:eastAsia="Times New Roman" w:hAnsi="Times New Roman" w:cs="Times New Roman"/>
                <w:kern w:val="0"/>
                <w:sz w:val="24"/>
                <w:szCs w:val="24"/>
                <w:lang w:eastAsia="fr-FR"/>
                <w14:ligatures w14:val="none"/>
              </w:rPr>
              <w:t>);</w:t>
            </w:r>
          </w:p>
          <w:p w14:paraId="6C53D6DB" w14:textId="77777777" w:rsidR="00422A2A" w:rsidRPr="00941DA8" w:rsidRDefault="00422A2A" w:rsidP="005A43AF">
            <w:pPr>
              <w:jc w:val="both"/>
              <w:rPr>
                <w:rFonts w:ascii="Times New Roman" w:hAnsi="Times New Roman" w:cs="Times New Roman"/>
                <w:sz w:val="24"/>
                <w:szCs w:val="24"/>
              </w:rPr>
            </w:pPr>
          </w:p>
          <w:p w14:paraId="6766923B" w14:textId="3B173D3A" w:rsidR="00422A2A" w:rsidRPr="00941DA8" w:rsidRDefault="00422A2A" w:rsidP="005A43AF">
            <w:pPr>
              <w:jc w:val="both"/>
              <w:rPr>
                <w:rFonts w:ascii="Times New Roman"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E</m:t>
                  </m:r>
                </m:e>
                <m:sub>
                  <m:r>
                    <w:rPr>
                      <w:rFonts w:ascii="Cambria Math" w:hAnsi="Cambria Math" w:cs="Times New Roman"/>
                      <w:sz w:val="24"/>
                      <w:szCs w:val="24"/>
                    </w:rPr>
                    <m:t>DA2</m:t>
                  </m:r>
                </m:sub>
              </m:sSub>
            </m:oMath>
            <w:r w:rsidRPr="00941DA8">
              <w:rPr>
                <w:rFonts w:ascii="Times New Roman" w:hAnsi="Times New Roman" w:cs="Times New Roman"/>
                <w:sz w:val="24"/>
                <w:szCs w:val="24"/>
              </w:rPr>
              <w:t xml:space="preserve"> – PSO pirktās vai pārdotās mFRR regulēšanas enerģijas apjoms kontroles zonā, kas piegādāts nākamajā mFRR MTU, veicot normālo aktivizāciju, normālo lokālo aktivizāciju vai speciālo aktivizāciju ar DA tipu attiecīgajā MTU ( MWh);</w:t>
            </w:r>
          </w:p>
          <w:p w14:paraId="6504D93E" w14:textId="77777777" w:rsidR="00422A2A" w:rsidRPr="00941DA8" w:rsidRDefault="00422A2A" w:rsidP="005A43AF">
            <w:pPr>
              <w:jc w:val="both"/>
              <w:rPr>
                <w:rFonts w:ascii="Times New Roman"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MTU1</m:t>
                  </m:r>
                </m:sub>
              </m:sSub>
            </m:oMath>
            <w:r w:rsidRPr="00941DA8">
              <w:rPr>
                <w:rFonts w:ascii="Times New Roman" w:hAnsi="Times New Roman" w:cs="Times New Roman"/>
                <w:sz w:val="24"/>
                <w:szCs w:val="24"/>
                <w:lang w:val="en-GB"/>
              </w:rPr>
              <w:t xml:space="preserve"> </w:t>
            </w:r>
            <w:r w:rsidRPr="00941DA8">
              <w:rPr>
                <w:rFonts w:ascii="Times New Roman" w:hAnsi="Times New Roman" w:cs="Times New Roman"/>
                <w:sz w:val="24"/>
                <w:szCs w:val="24"/>
              </w:rPr>
              <w:t xml:space="preserve">– attiecīgais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MTU (h);</w:t>
            </w:r>
          </w:p>
          <w:p w14:paraId="060F0A60" w14:textId="77777777" w:rsidR="00422A2A" w:rsidRPr="00941DA8" w:rsidRDefault="00422A2A" w:rsidP="005A43AF">
            <w:pPr>
              <w:jc w:val="both"/>
              <w:rPr>
                <w:rFonts w:ascii="Times New Roman"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MTU</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1</m:t>
                      </m:r>
                    </m:e>
                    <m:sub>
                      <m:r>
                        <w:rPr>
                          <w:rFonts w:ascii="Cambria Math" w:hAnsi="Cambria Math" w:cs="Times New Roman"/>
                          <w:sz w:val="24"/>
                          <w:szCs w:val="24"/>
                          <w:lang w:val="en-GB"/>
                        </w:rPr>
                        <m:t>1</m:t>
                      </m:r>
                    </m:sub>
                  </m:sSub>
                </m:sub>
              </m:sSub>
              <m:r>
                <w:rPr>
                  <w:rFonts w:ascii="Cambria Math" w:hAnsi="Cambria Math" w:cs="Times New Roman"/>
                  <w:sz w:val="24"/>
                  <w:szCs w:val="24"/>
                  <w:lang w:val="en-GB"/>
                </w:rPr>
                <m:t xml:space="preserve"> </m:t>
              </m:r>
            </m:oMath>
            <w:r w:rsidRPr="00941DA8">
              <w:rPr>
                <w:rFonts w:ascii="Times New Roman" w:hAnsi="Times New Roman" w:cs="Times New Roman"/>
                <w:sz w:val="24"/>
                <w:szCs w:val="24"/>
              </w:rPr>
              <w:t>– DA periods attiecīgā mFRR MTU(h) ietvaros;</w:t>
            </w:r>
          </w:p>
          <w:p w14:paraId="0A0DB91B" w14:textId="77777777" w:rsidR="00422A2A" w:rsidRPr="00941DA8" w:rsidRDefault="00422A2A" w:rsidP="005A43AF">
            <w:pPr>
              <w:jc w:val="both"/>
              <w:rPr>
                <w:rFonts w:ascii="Times New Roman"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MTU2</m:t>
                  </m:r>
                </m:sub>
              </m:sSub>
            </m:oMath>
            <w:r w:rsidRPr="00941DA8">
              <w:rPr>
                <w:rFonts w:ascii="Times New Roman" w:hAnsi="Times New Roman" w:cs="Times New Roman"/>
                <w:sz w:val="24"/>
                <w:szCs w:val="24"/>
                <w:lang w:val="en-GB"/>
              </w:rPr>
              <w:t xml:space="preserve"> </w:t>
            </w:r>
            <w:r w:rsidRPr="00941DA8">
              <w:rPr>
                <w:rFonts w:ascii="Times New Roman" w:hAnsi="Times New Roman" w:cs="Times New Roman"/>
                <w:sz w:val="24"/>
                <w:szCs w:val="24"/>
              </w:rPr>
              <w:t xml:space="preserve">– sekojošais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MTU (h);</w:t>
            </w:r>
          </w:p>
          <w:p w14:paraId="47F6E423" w14:textId="2A1A0AA5" w:rsidR="00422A2A" w:rsidRPr="00941DA8" w:rsidRDefault="00422A2A" w:rsidP="005A43AF">
            <w:pPr>
              <w:jc w:val="both"/>
              <w:rPr>
                <w:rFonts w:ascii="Times New Roman" w:hAnsi="Times New Roman" w:cs="Times New Roman"/>
                <w:b/>
                <w:bCs/>
                <w:sz w:val="24"/>
                <w:szCs w:val="24"/>
              </w:rPr>
            </w:pPr>
            <w:r w:rsidRPr="00941DA8">
              <w:rPr>
                <w:rFonts w:ascii="Times New Roman" w:hAnsi="Times New Roman" w:cs="Times New Roman"/>
                <w:sz w:val="24"/>
                <w:szCs w:val="24"/>
              </w:rPr>
              <w:t xml:space="preserve">P – PSO aktivizācijas komandā pieprasītā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regulēšanas jauda (MW).</w:t>
            </w:r>
          </w:p>
        </w:tc>
      </w:tr>
      <w:tr w:rsidR="00F527BD" w14:paraId="76B499C8" w14:textId="77777777" w:rsidTr="00F527BD">
        <w:tc>
          <w:tcPr>
            <w:tcW w:w="1276" w:type="dxa"/>
          </w:tcPr>
          <w:p w14:paraId="20F90A81" w14:textId="7DEC59EC" w:rsidR="00422A2A" w:rsidRPr="00941DA8" w:rsidRDefault="00945F64" w:rsidP="00945F64">
            <w:pPr>
              <w:pStyle w:val="Paragraphe"/>
              <w:spacing w:before="0" w:after="0"/>
              <w:ind w:left="340"/>
              <w:rPr>
                <w:rFonts w:ascii="Times New Roman" w:hAnsi="Times New Roman" w:cs="Times New Roman"/>
                <w:sz w:val="24"/>
                <w:lang w:val="en-GB"/>
              </w:rPr>
            </w:pPr>
            <w:r>
              <w:rPr>
                <w:rFonts w:ascii="Times New Roman" w:hAnsi="Times New Roman" w:cs="Times New Roman"/>
                <w:sz w:val="24"/>
                <w:lang w:val="en-GB"/>
              </w:rPr>
              <w:t>8.1.2.</w:t>
            </w:r>
          </w:p>
        </w:tc>
        <w:tc>
          <w:tcPr>
            <w:tcW w:w="3890" w:type="dxa"/>
          </w:tcPr>
          <w:p w14:paraId="6400E6BD" w14:textId="78FD1AC6" w:rsidR="00422A2A" w:rsidRPr="00A365FC" w:rsidRDefault="00422A2A" w:rsidP="00945F64">
            <w:pPr>
              <w:pStyle w:val="Paragraphe"/>
              <w:spacing w:before="0" w:after="0"/>
              <w:rPr>
                <w:rFonts w:ascii="Times New Roman" w:hAnsi="Times New Roman" w:cs="Times New Roman"/>
                <w:b/>
                <w:bCs/>
                <w:sz w:val="24"/>
                <w:lang w:val="en-GB"/>
              </w:rPr>
            </w:pPr>
            <w:r w:rsidRPr="00941DA8">
              <w:rPr>
                <w:rFonts w:ascii="Times New Roman" w:hAnsi="Times New Roman" w:cs="Times New Roman"/>
                <w:sz w:val="24"/>
                <w:lang w:val="en-GB"/>
              </w:rPr>
              <w:t xml:space="preserve">Payment for </w:t>
            </w:r>
            <w:proofErr w:type="spellStart"/>
            <w:r w:rsidRPr="00941DA8">
              <w:rPr>
                <w:rFonts w:ascii="Times New Roman" w:hAnsi="Times New Roman" w:cs="Times New Roman"/>
                <w:sz w:val="24"/>
                <w:lang w:val="en-GB"/>
              </w:rPr>
              <w:t>mFRR</w:t>
            </w:r>
            <w:proofErr w:type="spellEnd"/>
            <w:r w:rsidRPr="00941DA8">
              <w:rPr>
                <w:rFonts w:ascii="Times New Roman" w:hAnsi="Times New Roman" w:cs="Times New Roman"/>
                <w:sz w:val="24"/>
                <w:lang w:val="en-GB"/>
              </w:rPr>
              <w:t xml:space="preserve"> balancing energy product bids, which are </w:t>
            </w:r>
            <w:r w:rsidRPr="00B206C8">
              <w:rPr>
                <w:rFonts w:ascii="Times New Roman" w:hAnsi="Times New Roman" w:cs="Times New Roman"/>
                <w:sz w:val="24"/>
                <w:lang w:val="en-GB"/>
              </w:rPr>
              <w:t xml:space="preserve">purchased or sold within the MTU by the TSO in the control area, delivered as normal activation, is calculated as the product of the amount of energy and CBMP </w:t>
            </w:r>
            <w:r w:rsidRPr="00A365FC">
              <w:rPr>
                <w:rFonts w:ascii="Times New Roman" w:hAnsi="Times New Roman" w:cs="Times New Roman"/>
                <w:sz w:val="24"/>
                <w:lang w:val="en-GB"/>
              </w:rPr>
              <w:t>as follows:</w:t>
            </w:r>
          </w:p>
          <w:p w14:paraId="11A0DF5E"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SA</m:t>
                      </m:r>
                    </m:e>
                    <m:sub>
                      <m:r>
                        <w:rPr>
                          <w:rFonts w:ascii="Cambria Math" w:hAnsi="Cambria Math" w:cs="Times New Roman"/>
                          <w:sz w:val="24"/>
                          <w:lang w:val="en-GB"/>
                        </w:rPr>
                        <m:t>n</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SA</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CBMP</m:t>
                  </m:r>
                </m:e>
                <m:sub>
                  <m:r>
                    <w:rPr>
                      <w:rFonts w:ascii="Cambria Math" w:hAnsi="Cambria Math" w:cs="Times New Roman"/>
                      <w:sz w:val="24"/>
                      <w:lang w:val="en-GB"/>
                    </w:rPr>
                    <m:t>SA</m:t>
                  </m:r>
                </m:sub>
              </m:sSub>
            </m:oMath>
            <w:r w:rsidRPr="00941DA8">
              <w:rPr>
                <w:rFonts w:ascii="Times New Roman" w:hAnsi="Times New Roman" w:cs="Times New Roman"/>
                <w:sz w:val="24"/>
                <w:lang w:val="en-GB"/>
              </w:rPr>
              <w:t xml:space="preserve"> ,</w:t>
            </w:r>
          </w:p>
          <w:p w14:paraId="63A5D28B"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DA1</m:t>
                      </m:r>
                    </m:e>
                    <m:sub>
                      <m:r>
                        <w:rPr>
                          <w:rFonts w:ascii="Cambria Math" w:hAnsi="Cambria Math" w:cs="Times New Roman"/>
                          <w:sz w:val="24"/>
                          <w:lang w:val="en-GB"/>
                        </w:rPr>
                        <m:t>n</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DA1</m:t>
                  </m:r>
                </m:sub>
              </m:sSub>
              <m:r>
                <w:rPr>
                  <w:rFonts w:ascii="Cambria Math" w:hAnsi="Cambria Math" w:cs="Times New Roman"/>
                  <w:sz w:val="24"/>
                  <w:lang w:val="en-GB"/>
                </w:rPr>
                <m:t>*</m:t>
              </m:r>
              <m:sSub>
                <m:sSubPr>
                  <m:ctrlPr>
                    <w:rPr>
                      <w:rFonts w:ascii="Cambria Math" w:hAnsi="Cambria Math" w:cs="Times New Roman"/>
                      <w:i/>
                      <w:sz w:val="24"/>
                      <w:lang w:val="en-GB"/>
                    </w:rPr>
                  </m:ctrlPr>
                </m:sSubPr>
                <m:e>
                  <m:sSub>
                    <m:sSubPr>
                      <m:ctrlPr>
                        <w:rPr>
                          <w:rFonts w:ascii="Cambria Math" w:hAnsi="Cambria Math" w:cs="Times New Roman"/>
                          <w:i/>
                          <w:sz w:val="24"/>
                          <w:lang w:val="en-GB"/>
                        </w:rPr>
                      </m:ctrlPr>
                    </m:sSubPr>
                    <m:e>
                      <m:r>
                        <w:rPr>
                          <w:rFonts w:ascii="Cambria Math" w:hAnsi="Cambria Math" w:cs="Times New Roman"/>
                          <w:sz w:val="24"/>
                          <w:lang w:val="en-GB"/>
                        </w:rPr>
                        <m:t>CBMP</m:t>
                      </m:r>
                    </m:e>
                    <m:sub>
                      <m:r>
                        <w:rPr>
                          <w:rFonts w:ascii="Cambria Math" w:hAnsi="Cambria Math" w:cs="Times New Roman"/>
                          <w:sz w:val="24"/>
                          <w:lang w:val="en-GB"/>
                        </w:rPr>
                        <m:t>DA1</m:t>
                      </m:r>
                    </m:sub>
                  </m:sSub>
                </m:e>
                <m:sub>
                  <m:r>
                    <w:rPr>
                      <w:rFonts w:ascii="Cambria Math" w:hAnsi="Cambria Math" w:cs="Times New Roman"/>
                      <w:sz w:val="24"/>
                      <w:lang w:val="en-GB"/>
                    </w:rPr>
                    <m:t>1</m:t>
                  </m:r>
                </m:sub>
              </m:sSub>
            </m:oMath>
            <w:r w:rsidRPr="00941DA8">
              <w:rPr>
                <w:rFonts w:ascii="Times New Roman" w:hAnsi="Times New Roman" w:cs="Times New Roman"/>
                <w:sz w:val="24"/>
                <w:lang w:val="en-GB"/>
              </w:rPr>
              <w:t>,</w:t>
            </w:r>
          </w:p>
          <w:p w14:paraId="6B8AFD94"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DA2</m:t>
                      </m:r>
                    </m:e>
                    <m:sub>
                      <m:r>
                        <w:rPr>
                          <w:rFonts w:ascii="Cambria Math" w:hAnsi="Cambria Math" w:cs="Times New Roman"/>
                          <w:sz w:val="24"/>
                          <w:lang w:val="en-GB"/>
                        </w:rPr>
                        <m:t>n</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r>
                <w:rPr>
                  <w:rFonts w:ascii="Cambria Math" w:hAnsi="Cambria Math" w:cs="Times New Roman"/>
                  <w:sz w:val="24"/>
                  <w:lang w:val="en-GB"/>
                </w:rPr>
                <m:t>*CBM</m:t>
              </m:r>
              <m:sSub>
                <m:sSubPr>
                  <m:ctrlPr>
                    <w:rPr>
                      <w:rFonts w:ascii="Cambria Math" w:hAnsi="Cambria Math" w:cs="Times New Roman"/>
                      <w:i/>
                      <w:sz w:val="24"/>
                      <w:lang w:val="en-GB"/>
                    </w:rPr>
                  </m:ctrlPr>
                </m:sSubPr>
                <m:e>
                  <m:r>
                    <w:rPr>
                      <w:rFonts w:ascii="Cambria Math" w:hAnsi="Cambria Math" w:cs="Times New Roman"/>
                      <w:sz w:val="24"/>
                      <w:lang w:val="en-GB"/>
                    </w:rPr>
                    <m:t>P</m:t>
                  </m:r>
                </m:e>
                <m:sub>
                  <m:r>
                    <w:rPr>
                      <w:rFonts w:ascii="Cambria Math" w:hAnsi="Cambria Math" w:cs="Times New Roman"/>
                      <w:sz w:val="24"/>
                      <w:lang w:val="en-GB"/>
                    </w:rPr>
                    <m:t>D</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2</m:t>
                      </m:r>
                    </m:sub>
                  </m:sSub>
                </m:sub>
              </m:sSub>
            </m:oMath>
            <w:r w:rsidRPr="00941DA8">
              <w:rPr>
                <w:rFonts w:ascii="Times New Roman" w:hAnsi="Times New Roman" w:cs="Times New Roman"/>
                <w:sz w:val="24"/>
                <w:lang w:val="en-GB"/>
              </w:rPr>
              <w:t>,</w:t>
            </w:r>
          </w:p>
          <w:p w14:paraId="4E2F03DC"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w:proofErr w:type="gramStart"/>
            <w:r w:rsidRPr="00941DA8">
              <w:rPr>
                <w:rFonts w:ascii="Times New Roman" w:hAnsi="Times New Roman" w:cs="Times New Roman"/>
                <w:sz w:val="24"/>
                <w:lang w:val="en-GB"/>
              </w:rPr>
              <w:t>where</w:t>
            </w:r>
            <w:proofErr w:type="gramEnd"/>
          </w:p>
          <w:p w14:paraId="67D30FD0"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SA</m:t>
                      </m:r>
                    </m:e>
                    <m:sub>
                      <m:r>
                        <w:rPr>
                          <w:rFonts w:ascii="Cambria Math" w:hAnsi="Cambria Math" w:cs="Times New Roman"/>
                          <w:sz w:val="24"/>
                          <w:lang w:val="en-GB"/>
                        </w:rPr>
                        <m:t>n</m:t>
                      </m:r>
                    </m:sub>
                  </m:sSub>
                </m:sub>
              </m:sSub>
            </m:oMath>
            <w:r w:rsidRPr="00941DA8">
              <w:rPr>
                <w:rFonts w:ascii="Times New Roman" w:hAnsi="Times New Roman" w:cs="Times New Roman"/>
                <w:sz w:val="24"/>
                <w:lang w:val="en-GB"/>
              </w:rPr>
              <w:t xml:space="preserve"> – payment for mFRR balancing energy product bids with SA type, delivered as normal activation for the respective mFRR MTU and direction (EUR);</w:t>
            </w:r>
          </w:p>
          <w:p w14:paraId="27128764"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DA1</m:t>
                      </m:r>
                    </m:e>
                    <m:sub>
                      <m:r>
                        <w:rPr>
                          <w:rFonts w:ascii="Cambria Math" w:hAnsi="Cambria Math" w:cs="Times New Roman"/>
                          <w:sz w:val="24"/>
                          <w:lang w:val="en-GB"/>
                        </w:rPr>
                        <m:t>n</m:t>
                      </m:r>
                    </m:sub>
                  </m:sSub>
                </m:sub>
              </m:sSub>
            </m:oMath>
            <w:r w:rsidRPr="00941DA8">
              <w:rPr>
                <w:rFonts w:ascii="Times New Roman" w:hAnsi="Times New Roman" w:cs="Times New Roman"/>
                <w:sz w:val="24"/>
                <w:lang w:val="en-GB"/>
              </w:rPr>
              <w:t xml:space="preserve"> – payment for mFRR balancing energy product bids with DA type, delivered as normal activation within the respective mFRR MTU (from the start time fixed in the activation command to the end of the respective mFRR MTU) and direction (EUR);</w:t>
            </w:r>
          </w:p>
          <w:p w14:paraId="0CE0BF3A"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DA2</m:t>
                      </m:r>
                    </m:e>
                    <m:sub>
                      <m:r>
                        <w:rPr>
                          <w:rFonts w:ascii="Cambria Math" w:hAnsi="Cambria Math" w:cs="Times New Roman"/>
                          <w:sz w:val="24"/>
                          <w:lang w:val="en-GB"/>
                        </w:rPr>
                        <m:t>n</m:t>
                      </m:r>
                    </m:sub>
                  </m:sSub>
                </m:sub>
              </m:sSub>
            </m:oMath>
            <w:r w:rsidRPr="00941DA8">
              <w:rPr>
                <w:rFonts w:ascii="Times New Roman" w:hAnsi="Times New Roman" w:cs="Times New Roman"/>
                <w:sz w:val="24"/>
                <w:lang w:val="en-GB"/>
              </w:rPr>
              <w:t xml:space="preserve"> – payment for mFRR balancing energy product bids with DA type, delivered as normal activation in the subsequent mFRR MTU and respective direction (EUR);</w:t>
            </w:r>
          </w:p>
          <w:p w14:paraId="2514DAE1"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r>
                <w:rPr>
                  <w:rFonts w:ascii="Cambria Math" w:hAnsi="Cambria Math" w:cs="Times New Roman"/>
                  <w:sz w:val="24"/>
                  <w:lang w:val="en-GB"/>
                </w:rPr>
                <m:t>CBM</m:t>
              </m:r>
              <m:sSub>
                <m:sSubPr>
                  <m:ctrlPr>
                    <w:rPr>
                      <w:rFonts w:ascii="Cambria Math" w:hAnsi="Cambria Math" w:cs="Times New Roman"/>
                      <w:i/>
                      <w:sz w:val="24"/>
                      <w:lang w:val="en-GB"/>
                    </w:rPr>
                  </m:ctrlPr>
                </m:sSubPr>
                <m:e>
                  <m:r>
                    <w:rPr>
                      <w:rFonts w:ascii="Cambria Math" w:hAnsi="Cambria Math" w:cs="Times New Roman"/>
                      <w:sz w:val="24"/>
                      <w:lang w:val="en-GB"/>
                    </w:rPr>
                    <m:t>P</m:t>
                  </m:r>
                </m:e>
                <m:sub>
                  <m:r>
                    <w:rPr>
                      <w:rFonts w:ascii="Cambria Math" w:hAnsi="Cambria Math" w:cs="Times New Roman"/>
                      <w:sz w:val="24"/>
                      <w:lang w:val="en-GB"/>
                    </w:rPr>
                    <m:t>1SA</m:t>
                  </m:r>
                </m:sub>
              </m:sSub>
            </m:oMath>
            <w:r w:rsidRPr="00941DA8">
              <w:rPr>
                <w:rFonts w:ascii="Times New Roman" w:hAnsi="Times New Roman" w:cs="Times New Roman"/>
                <w:sz w:val="24"/>
                <w:lang w:val="en-GB"/>
              </w:rPr>
              <w:t xml:space="preserve"> – cross-border marginal price for the respective mFRR MTU for mFRR balancing energy product bids with SA type as determined in the methodology for pricing (EUR/MWh);</w:t>
            </w:r>
          </w:p>
          <w:p w14:paraId="2C1DB62B"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sSub>
                    <m:sSubPr>
                      <m:ctrlPr>
                        <w:rPr>
                          <w:rFonts w:ascii="Cambria Math" w:hAnsi="Cambria Math" w:cs="Times New Roman"/>
                          <w:i/>
                          <w:sz w:val="24"/>
                          <w:lang w:val="en-GB"/>
                        </w:rPr>
                      </m:ctrlPr>
                    </m:sSubPr>
                    <m:e>
                      <m:r>
                        <w:rPr>
                          <w:rFonts w:ascii="Cambria Math" w:hAnsi="Cambria Math" w:cs="Times New Roman"/>
                          <w:sz w:val="24"/>
                          <w:lang w:val="en-GB"/>
                        </w:rPr>
                        <m:t>CBMP</m:t>
                      </m:r>
                    </m:e>
                    <m:sub>
                      <m:r>
                        <w:rPr>
                          <w:rFonts w:ascii="Cambria Math" w:hAnsi="Cambria Math" w:cs="Times New Roman"/>
                          <w:sz w:val="24"/>
                          <w:lang w:val="en-GB"/>
                        </w:rPr>
                        <m:t>1DA</m:t>
                      </m:r>
                    </m:sub>
                  </m:sSub>
                </m:e>
                <m:sub>
                  <m:r>
                    <w:rPr>
                      <w:rFonts w:ascii="Cambria Math" w:hAnsi="Cambria Math" w:cs="Times New Roman"/>
                      <w:sz w:val="24"/>
                      <w:lang w:val="en-GB"/>
                    </w:rPr>
                    <m:t>1</m:t>
                  </m:r>
                </m:sub>
              </m:sSub>
            </m:oMath>
            <w:r w:rsidRPr="00941DA8">
              <w:rPr>
                <w:rFonts w:ascii="Times New Roman" w:hAnsi="Times New Roman" w:cs="Times New Roman"/>
                <w:sz w:val="24"/>
                <w:lang w:val="en-GB"/>
              </w:rPr>
              <w:t xml:space="preserve"> – cross-border marginal price for the respective mFRR MTU for mFRR balancing energy product bids with DA type for respective direction as determined in the methodology for pricing (EUR/MWh);</w:t>
            </w:r>
          </w:p>
          <w:p w14:paraId="0AE24D97"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r>
                <w:rPr>
                  <w:rFonts w:ascii="Cambria Math" w:hAnsi="Cambria Math" w:cs="Times New Roman"/>
                  <w:sz w:val="24"/>
                  <w:lang w:val="en-GB"/>
                </w:rPr>
                <m:t>CBM</m:t>
              </m:r>
              <m:sSub>
                <m:sSubPr>
                  <m:ctrlPr>
                    <w:rPr>
                      <w:rFonts w:ascii="Cambria Math" w:hAnsi="Cambria Math" w:cs="Times New Roman"/>
                      <w:i/>
                      <w:sz w:val="24"/>
                      <w:lang w:val="en-GB"/>
                    </w:rPr>
                  </m:ctrlPr>
                </m:sSubPr>
                <m:e>
                  <m:r>
                    <w:rPr>
                      <w:rFonts w:ascii="Cambria Math" w:hAnsi="Cambria Math" w:cs="Times New Roman"/>
                      <w:sz w:val="24"/>
                      <w:lang w:val="en-GB"/>
                    </w:rPr>
                    <m:t>P</m:t>
                  </m:r>
                </m:e>
                <m:sub>
                  <m:r>
                    <w:rPr>
                      <w:rFonts w:ascii="Cambria Math" w:hAnsi="Cambria Math" w:cs="Times New Roman"/>
                      <w:sz w:val="24"/>
                      <w:lang w:val="en-GB"/>
                    </w:rPr>
                    <m:t>D</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2</m:t>
                      </m:r>
                    </m:sub>
                  </m:sSub>
                </m:sub>
              </m:sSub>
            </m:oMath>
            <w:r w:rsidRPr="00941DA8">
              <w:rPr>
                <w:rFonts w:ascii="Times New Roman" w:hAnsi="Times New Roman" w:cs="Times New Roman"/>
                <w:sz w:val="24"/>
                <w:lang w:val="en-GB"/>
              </w:rPr>
              <w:t xml:space="preserve"> – cross-border marginal price for the subsequent mFRR MTU for mFRR balancing energy product bids with DA type for respective direction as determined in the methodology for pricing (EUR/MWh).</w:t>
            </w:r>
          </w:p>
          <w:p w14:paraId="26C755A6"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w:p>
          <w:p w14:paraId="044C4B6F" w14:textId="2E3C39C5" w:rsidR="00422A2A" w:rsidRPr="00941DA8" w:rsidRDefault="00422A2A" w:rsidP="005A43AF">
            <w:pPr>
              <w:pStyle w:val="Point0number"/>
              <w:numPr>
                <w:ilvl w:val="0"/>
                <w:numId w:val="0"/>
              </w:numPr>
              <w:tabs>
                <w:tab w:val="left" w:pos="720"/>
              </w:tabs>
              <w:spacing w:before="0" w:after="0"/>
              <w:rPr>
                <w:rFonts w:eastAsia="Times New Roman"/>
                <w:b/>
                <w:bCs/>
                <w:szCs w:val="24"/>
                <w:lang w:val="en-US"/>
              </w:rPr>
            </w:pPr>
          </w:p>
        </w:tc>
        <w:tc>
          <w:tcPr>
            <w:tcW w:w="3760" w:type="dxa"/>
          </w:tcPr>
          <w:p w14:paraId="37FF1B77" w14:textId="6747070D"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lastRenderedPageBreak/>
              <w:t xml:space="preserve">Maksa par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regulēšanas enerģiju, kuru PSO kontroles zonā pircis vai pārdevis MTU ietvaros, kas piegādāta </w:t>
            </w:r>
            <w:proofErr w:type="spellStart"/>
            <w:r w:rsidRPr="00941DA8">
              <w:rPr>
                <w:rFonts w:ascii="Times New Roman" w:eastAsiaTheme="minorEastAsia" w:hAnsi="Times New Roman" w:cs="Times New Roman"/>
                <w:sz w:val="24"/>
                <w:szCs w:val="24"/>
                <w:lang w:val="en-GB"/>
              </w:rPr>
              <w:t>mFRR</w:t>
            </w:r>
            <w:proofErr w:type="spellEnd"/>
            <w:r w:rsidRPr="00941DA8">
              <w:rPr>
                <w:rFonts w:ascii="Times New Roman" w:eastAsiaTheme="minorEastAsia" w:hAnsi="Times New Roman" w:cs="Times New Roman"/>
                <w:sz w:val="24"/>
                <w:szCs w:val="24"/>
                <w:lang w:val="en-GB"/>
              </w:rPr>
              <w:t xml:space="preserve"> </w:t>
            </w:r>
            <w:proofErr w:type="spellStart"/>
            <w:r w:rsidRPr="00941DA8">
              <w:rPr>
                <w:rFonts w:ascii="Times New Roman" w:eastAsiaTheme="minorEastAsia" w:hAnsi="Times New Roman" w:cs="Times New Roman"/>
                <w:sz w:val="24"/>
                <w:szCs w:val="24"/>
                <w:lang w:val="en-GB"/>
              </w:rPr>
              <w:t>regulēšanas</w:t>
            </w:r>
            <w:proofErr w:type="spellEnd"/>
            <w:r w:rsidRPr="00941DA8">
              <w:rPr>
                <w:rFonts w:ascii="Times New Roman" w:eastAsiaTheme="minorEastAsia" w:hAnsi="Times New Roman" w:cs="Times New Roman"/>
                <w:sz w:val="24"/>
                <w:szCs w:val="24"/>
                <w:lang w:val="en-GB"/>
              </w:rPr>
              <w:t xml:space="preserve"> </w:t>
            </w:r>
            <w:proofErr w:type="spellStart"/>
            <w:r w:rsidRPr="00941DA8">
              <w:rPr>
                <w:rFonts w:ascii="Times New Roman" w:eastAsiaTheme="minorEastAsia" w:hAnsi="Times New Roman" w:cs="Times New Roman"/>
                <w:sz w:val="24"/>
                <w:szCs w:val="24"/>
                <w:lang w:val="en-GB"/>
              </w:rPr>
              <w:t>produktu</w:t>
            </w:r>
            <w:proofErr w:type="spellEnd"/>
            <w:r w:rsidRPr="00941DA8">
              <w:rPr>
                <w:rFonts w:ascii="Times New Roman" w:hAnsi="Times New Roman" w:cs="Times New Roman"/>
                <w:sz w:val="24"/>
                <w:szCs w:val="24"/>
              </w:rPr>
              <w:t xml:space="preserve"> normālā aktivizācijā, tiek aprēķināta kā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regulēšanas enerģijas apjoma un CBMP reizinājums</w:t>
            </w:r>
            <w:r>
              <w:rPr>
                <w:rFonts w:ascii="Times New Roman" w:hAnsi="Times New Roman" w:cs="Times New Roman"/>
                <w:sz w:val="24"/>
                <w:szCs w:val="24"/>
              </w:rPr>
              <w:t xml:space="preserve"> </w:t>
            </w:r>
            <w:r w:rsidRPr="00941DA8">
              <w:rPr>
                <w:rFonts w:ascii="Times New Roman" w:hAnsi="Times New Roman" w:cs="Times New Roman"/>
                <w:sz w:val="24"/>
                <w:szCs w:val="24"/>
              </w:rPr>
              <w:t>šādi:</w:t>
            </w:r>
          </w:p>
          <w:p w14:paraId="50CD7D78"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SA</m:t>
                      </m:r>
                    </m:e>
                    <m:sub>
                      <m:r>
                        <w:rPr>
                          <w:rFonts w:ascii="Cambria Math" w:hAnsi="Cambria Math" w:cs="Times New Roman"/>
                          <w:sz w:val="24"/>
                          <w:lang w:val="en-GB"/>
                        </w:rPr>
                        <m:t>n</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SA</m:t>
                  </m:r>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CBMP</m:t>
                  </m:r>
                </m:e>
                <m:sub>
                  <m:r>
                    <w:rPr>
                      <w:rFonts w:ascii="Cambria Math" w:hAnsi="Cambria Math" w:cs="Times New Roman"/>
                      <w:sz w:val="24"/>
                      <w:lang w:val="en-GB"/>
                    </w:rPr>
                    <m:t>SA</m:t>
                  </m:r>
                </m:sub>
              </m:sSub>
            </m:oMath>
            <w:r w:rsidRPr="00941DA8">
              <w:rPr>
                <w:rFonts w:ascii="Times New Roman" w:hAnsi="Times New Roman" w:cs="Times New Roman"/>
                <w:sz w:val="24"/>
                <w:lang w:val="en-GB"/>
              </w:rPr>
              <w:t xml:space="preserve"> ,</w:t>
            </w:r>
          </w:p>
          <w:p w14:paraId="76534B3E"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DA1</m:t>
                      </m:r>
                    </m:e>
                    <m:sub>
                      <m:r>
                        <w:rPr>
                          <w:rFonts w:ascii="Cambria Math" w:hAnsi="Cambria Math" w:cs="Times New Roman"/>
                          <w:sz w:val="24"/>
                          <w:lang w:val="en-GB"/>
                        </w:rPr>
                        <m:t>n</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DA1</m:t>
                  </m:r>
                </m:sub>
              </m:sSub>
              <m:r>
                <w:rPr>
                  <w:rFonts w:ascii="Cambria Math" w:hAnsi="Cambria Math" w:cs="Times New Roman"/>
                  <w:sz w:val="24"/>
                  <w:lang w:val="en-GB"/>
                </w:rPr>
                <m:t>*</m:t>
              </m:r>
              <m:sSub>
                <m:sSubPr>
                  <m:ctrlPr>
                    <w:rPr>
                      <w:rFonts w:ascii="Cambria Math" w:hAnsi="Cambria Math" w:cs="Times New Roman"/>
                      <w:i/>
                      <w:sz w:val="24"/>
                      <w:lang w:val="en-GB"/>
                    </w:rPr>
                  </m:ctrlPr>
                </m:sSubPr>
                <m:e>
                  <m:sSub>
                    <m:sSubPr>
                      <m:ctrlPr>
                        <w:rPr>
                          <w:rFonts w:ascii="Cambria Math" w:hAnsi="Cambria Math" w:cs="Times New Roman"/>
                          <w:i/>
                          <w:sz w:val="24"/>
                          <w:lang w:val="en-GB"/>
                        </w:rPr>
                      </m:ctrlPr>
                    </m:sSubPr>
                    <m:e>
                      <m:r>
                        <w:rPr>
                          <w:rFonts w:ascii="Cambria Math" w:hAnsi="Cambria Math" w:cs="Times New Roman"/>
                          <w:sz w:val="24"/>
                          <w:lang w:val="en-GB"/>
                        </w:rPr>
                        <m:t>CBMP</m:t>
                      </m:r>
                    </m:e>
                    <m:sub>
                      <m:r>
                        <w:rPr>
                          <w:rFonts w:ascii="Cambria Math" w:hAnsi="Cambria Math" w:cs="Times New Roman"/>
                          <w:sz w:val="24"/>
                          <w:lang w:val="en-GB"/>
                        </w:rPr>
                        <m:t>1DA</m:t>
                      </m:r>
                    </m:sub>
                  </m:sSub>
                </m:e>
                <m:sub>
                  <m:r>
                    <w:rPr>
                      <w:rFonts w:ascii="Cambria Math" w:hAnsi="Cambria Math" w:cs="Times New Roman"/>
                      <w:sz w:val="24"/>
                      <w:lang w:val="en-GB"/>
                    </w:rPr>
                    <m:t>1</m:t>
                  </m:r>
                </m:sub>
              </m:sSub>
            </m:oMath>
            <w:r w:rsidRPr="00941DA8">
              <w:rPr>
                <w:rFonts w:ascii="Times New Roman" w:hAnsi="Times New Roman" w:cs="Times New Roman"/>
                <w:sz w:val="24"/>
                <w:lang w:val="en-GB"/>
              </w:rPr>
              <w:t>,</w:t>
            </w:r>
          </w:p>
          <w:p w14:paraId="747A83E1" w14:textId="77777777" w:rsidR="00422A2A" w:rsidRPr="00941DA8" w:rsidRDefault="00422A2A" w:rsidP="005A43AF">
            <w:pPr>
              <w:pStyle w:val="Paragraphe"/>
              <w:spacing w:before="0" w:after="0"/>
              <w:ind w:left="357" w:firstLine="720"/>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DA2</m:t>
                      </m:r>
                    </m:e>
                    <m:sub>
                      <m:r>
                        <w:rPr>
                          <w:rFonts w:ascii="Cambria Math" w:hAnsi="Cambria Math" w:cs="Times New Roman"/>
                          <w:sz w:val="24"/>
                          <w:lang w:val="en-GB"/>
                        </w:rPr>
                        <m:t>n</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r>
                <w:rPr>
                  <w:rFonts w:ascii="Cambria Math" w:hAnsi="Cambria Math" w:cs="Times New Roman"/>
                  <w:sz w:val="24"/>
                  <w:lang w:val="en-GB"/>
                </w:rPr>
                <m:t>*CBM</m:t>
              </m:r>
              <m:sSub>
                <m:sSubPr>
                  <m:ctrlPr>
                    <w:rPr>
                      <w:rFonts w:ascii="Cambria Math" w:hAnsi="Cambria Math" w:cs="Times New Roman"/>
                      <w:i/>
                      <w:sz w:val="24"/>
                      <w:lang w:val="en-GB"/>
                    </w:rPr>
                  </m:ctrlPr>
                </m:sSubPr>
                <m:e>
                  <m:r>
                    <w:rPr>
                      <w:rFonts w:ascii="Cambria Math" w:hAnsi="Cambria Math" w:cs="Times New Roman"/>
                      <w:sz w:val="24"/>
                      <w:lang w:val="en-GB"/>
                    </w:rPr>
                    <m:t>P</m:t>
                  </m:r>
                </m:e>
                <m:sub>
                  <m:r>
                    <w:rPr>
                      <w:rFonts w:ascii="Cambria Math" w:hAnsi="Cambria Math" w:cs="Times New Roman"/>
                      <w:sz w:val="24"/>
                      <w:lang w:val="en-GB"/>
                    </w:rPr>
                    <m:t>D</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2</m:t>
                      </m:r>
                    </m:sub>
                  </m:sSub>
                </m:sub>
              </m:sSub>
            </m:oMath>
            <w:r w:rsidRPr="00941DA8">
              <w:rPr>
                <w:rFonts w:ascii="Times New Roman" w:hAnsi="Times New Roman" w:cs="Times New Roman"/>
                <w:sz w:val="24"/>
                <w:lang w:val="en-GB"/>
              </w:rPr>
              <w:t>,</w:t>
            </w:r>
          </w:p>
          <w:p w14:paraId="45ECDECF" w14:textId="7BC66B89"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t>kur</w:t>
            </w:r>
          </w:p>
          <w:p w14:paraId="2B2C79EA" w14:textId="7FBA60CF" w:rsidR="00422A2A" w:rsidRPr="003C534E" w:rsidRDefault="00422A2A" w:rsidP="005A43AF">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M</m:t>
                  </m:r>
                </m:e>
                <m:sub>
                  <m:sSub>
                    <m:sSubPr>
                      <m:ctrlPr>
                        <w:rPr>
                          <w:rFonts w:ascii="Cambria Math" w:hAnsi="Cambria Math" w:cs="Times New Roman"/>
                          <w:i/>
                          <w:sz w:val="24"/>
                          <w:szCs w:val="24"/>
                          <w:lang w:val="en-GB"/>
                        </w:rPr>
                      </m:ctrlPr>
                    </m:sSubPr>
                    <m:e>
                      <m:r>
                        <w:rPr>
                          <w:rFonts w:ascii="Cambria Math" w:hAnsi="Cambria Math" w:cs="Times New Roman"/>
                          <w:sz w:val="24"/>
                          <w:szCs w:val="24"/>
                        </w:rPr>
                        <m:t>SA</m:t>
                      </m:r>
                    </m:e>
                    <m:sub>
                      <m:r>
                        <w:rPr>
                          <w:rFonts w:ascii="Cambria Math" w:hAnsi="Cambria Math" w:cs="Times New Roman"/>
                          <w:sz w:val="24"/>
                          <w:szCs w:val="24"/>
                        </w:rPr>
                        <m:t>n</m:t>
                      </m:r>
                    </m:sub>
                  </m:sSub>
                </m:sub>
              </m:sSub>
            </m:oMath>
            <w:r w:rsidRPr="003C534E">
              <w:rPr>
                <w:rFonts w:ascii="Times New Roman" w:eastAsiaTheme="minorEastAsia" w:hAnsi="Times New Roman" w:cs="Times New Roman"/>
                <w:sz w:val="24"/>
                <w:szCs w:val="24"/>
              </w:rPr>
              <w:t>- maksa par regulēšanas enerģiju mFRR produktu solījumiem, kas aktivizēti ar SA tipu, veicot normālo aktivizāciju attiecīgajam mFRR MTU un virzienam (EUR);</w:t>
            </w:r>
          </w:p>
          <w:p w14:paraId="16A066E6" w14:textId="4B8D742D" w:rsidR="00422A2A" w:rsidRPr="003C534E" w:rsidRDefault="00422A2A" w:rsidP="005A43AF">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M</m:t>
                  </m:r>
                </m:e>
                <m:sub>
                  <m:sSub>
                    <m:sSubPr>
                      <m:ctrlPr>
                        <w:rPr>
                          <w:rFonts w:ascii="Cambria Math" w:hAnsi="Cambria Math" w:cs="Times New Roman"/>
                          <w:i/>
                          <w:sz w:val="24"/>
                          <w:szCs w:val="24"/>
                          <w:lang w:val="en-GB"/>
                        </w:rPr>
                      </m:ctrlPr>
                    </m:sSubPr>
                    <m:e>
                      <m:r>
                        <w:rPr>
                          <w:rFonts w:ascii="Cambria Math" w:hAnsi="Cambria Math" w:cs="Times New Roman"/>
                          <w:sz w:val="24"/>
                          <w:szCs w:val="24"/>
                        </w:rPr>
                        <m:t>DA1</m:t>
                      </m:r>
                    </m:e>
                    <m:sub>
                      <m:r>
                        <w:rPr>
                          <w:rFonts w:ascii="Cambria Math" w:hAnsi="Cambria Math" w:cs="Times New Roman"/>
                          <w:sz w:val="24"/>
                          <w:szCs w:val="24"/>
                        </w:rPr>
                        <m:t>n</m:t>
                      </m:r>
                    </m:sub>
                  </m:sSub>
                </m:sub>
              </m:sSub>
            </m:oMath>
            <w:r w:rsidRPr="003C534E">
              <w:rPr>
                <w:rFonts w:ascii="Times New Roman" w:eastAsiaTheme="minorEastAsia" w:hAnsi="Times New Roman" w:cs="Times New Roman"/>
                <w:sz w:val="24"/>
                <w:szCs w:val="24"/>
              </w:rPr>
              <w:t xml:space="preserve"> - maksa par regulēšanas enerģiju mFRR produktu solījumiem, kas aktivizēti ar DA tipu, kas tiek piegādāti veicot normālo aktivizāciju attiecīgajam mFRR MTU (no aktivizācijas komandā fiksētā sākuma laika līdz attiecīgā mFRR MTU beigām) un virzienam (EUR);</w:t>
            </w:r>
          </w:p>
          <w:p w14:paraId="229853A2" w14:textId="40A7BEC6" w:rsidR="00422A2A" w:rsidRPr="00941DA8" w:rsidRDefault="00422A2A" w:rsidP="005A43AF">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DA2</m:t>
                      </m:r>
                    </m:e>
                    <m:sub>
                      <m:r>
                        <w:rPr>
                          <w:rFonts w:ascii="Cambria Math" w:hAnsi="Cambria Math" w:cs="Times New Roman"/>
                          <w:sz w:val="24"/>
                          <w:szCs w:val="24"/>
                        </w:rPr>
                        <m:t>n</m:t>
                      </m:r>
                    </m:sub>
                  </m:sSub>
                </m:sub>
              </m:sSub>
            </m:oMath>
            <w:r w:rsidRPr="00941DA8">
              <w:rPr>
                <w:rFonts w:ascii="Times New Roman" w:eastAsiaTheme="minorEastAsia" w:hAnsi="Times New Roman" w:cs="Times New Roman"/>
                <w:sz w:val="24"/>
                <w:szCs w:val="24"/>
              </w:rPr>
              <w:t xml:space="preserve">- maksa par </w:t>
            </w:r>
            <w:r w:rsidRPr="003C534E">
              <w:rPr>
                <w:rFonts w:ascii="Times New Roman" w:eastAsiaTheme="minorEastAsia" w:hAnsi="Times New Roman" w:cs="Times New Roman"/>
                <w:sz w:val="24"/>
                <w:szCs w:val="24"/>
              </w:rPr>
              <w:t xml:space="preserve">regulēšanas enerģiju </w:t>
            </w:r>
            <w:proofErr w:type="spellStart"/>
            <w:r w:rsidRPr="00941DA8">
              <w:rPr>
                <w:rFonts w:ascii="Times New Roman" w:eastAsiaTheme="minorEastAsia" w:hAnsi="Times New Roman" w:cs="Times New Roman"/>
                <w:sz w:val="24"/>
                <w:szCs w:val="24"/>
              </w:rPr>
              <w:t>mFRR</w:t>
            </w:r>
            <w:proofErr w:type="spellEnd"/>
            <w:r w:rsidRPr="00941DA8">
              <w:rPr>
                <w:rFonts w:ascii="Times New Roman" w:eastAsiaTheme="minorEastAsia" w:hAnsi="Times New Roman" w:cs="Times New Roman"/>
                <w:sz w:val="24"/>
                <w:szCs w:val="24"/>
              </w:rPr>
              <w:t xml:space="preserve"> produktu solījumiem, </w:t>
            </w:r>
            <w:r w:rsidRPr="003C534E">
              <w:rPr>
                <w:rFonts w:ascii="Times New Roman" w:eastAsiaTheme="minorEastAsia" w:hAnsi="Times New Roman" w:cs="Times New Roman"/>
                <w:sz w:val="24"/>
                <w:szCs w:val="24"/>
              </w:rPr>
              <w:t xml:space="preserve">kas aktivizēti </w:t>
            </w:r>
            <w:r w:rsidRPr="00941DA8">
              <w:rPr>
                <w:rFonts w:ascii="Times New Roman" w:eastAsiaTheme="minorEastAsia" w:hAnsi="Times New Roman" w:cs="Times New Roman"/>
                <w:sz w:val="24"/>
                <w:szCs w:val="24"/>
              </w:rPr>
              <w:t xml:space="preserve">ar DA tipu, kas tiek piegādāti veicot normālo aktivizāciju  </w:t>
            </w:r>
            <w:r w:rsidRPr="003C534E">
              <w:rPr>
                <w:rFonts w:ascii="Times New Roman" w:eastAsiaTheme="minorEastAsia" w:hAnsi="Times New Roman" w:cs="Times New Roman"/>
                <w:sz w:val="24"/>
                <w:szCs w:val="24"/>
              </w:rPr>
              <w:t xml:space="preserve">attiecīgajam </w:t>
            </w:r>
            <w:proofErr w:type="spellStart"/>
            <w:r w:rsidRPr="003C534E">
              <w:rPr>
                <w:rFonts w:ascii="Times New Roman" w:eastAsiaTheme="minorEastAsia" w:hAnsi="Times New Roman" w:cs="Times New Roman"/>
                <w:sz w:val="24"/>
                <w:szCs w:val="24"/>
              </w:rPr>
              <w:t>mFRR</w:t>
            </w:r>
            <w:proofErr w:type="spellEnd"/>
            <w:r w:rsidRPr="003C534E">
              <w:rPr>
                <w:rFonts w:ascii="Times New Roman" w:eastAsiaTheme="minorEastAsia" w:hAnsi="Times New Roman" w:cs="Times New Roman"/>
                <w:sz w:val="24"/>
                <w:szCs w:val="24"/>
              </w:rPr>
              <w:t xml:space="preserve"> MTU un virzienam, kas piegādāts</w:t>
            </w:r>
            <w:r w:rsidRPr="00941DA8">
              <w:rPr>
                <w:rFonts w:ascii="Times New Roman" w:eastAsiaTheme="minorEastAsia" w:hAnsi="Times New Roman" w:cs="Times New Roman"/>
                <w:sz w:val="24"/>
                <w:szCs w:val="24"/>
              </w:rPr>
              <w:t xml:space="preserve"> secīgajā </w:t>
            </w:r>
            <w:proofErr w:type="spellStart"/>
            <w:r w:rsidRPr="00941DA8">
              <w:rPr>
                <w:rFonts w:ascii="Times New Roman" w:eastAsiaTheme="minorEastAsia" w:hAnsi="Times New Roman" w:cs="Times New Roman"/>
                <w:sz w:val="24"/>
                <w:szCs w:val="24"/>
              </w:rPr>
              <w:t>mFRR</w:t>
            </w:r>
            <w:proofErr w:type="spellEnd"/>
            <w:r w:rsidRPr="00941DA8">
              <w:rPr>
                <w:rFonts w:ascii="Times New Roman" w:eastAsiaTheme="minorEastAsia" w:hAnsi="Times New Roman" w:cs="Times New Roman"/>
                <w:sz w:val="24"/>
                <w:szCs w:val="24"/>
              </w:rPr>
              <w:t xml:space="preserve"> MTU (EUR);</w:t>
            </w:r>
          </w:p>
          <w:p w14:paraId="02111358" w14:textId="402F2FC2" w:rsidR="00422A2A" w:rsidRPr="00941DA8" w:rsidRDefault="00422A2A" w:rsidP="005A43AF">
            <w:pPr>
              <w:jc w:val="both"/>
              <w:rPr>
                <w:rFonts w:ascii="Times New Roman" w:hAnsi="Times New Roman" w:cs="Times New Roman"/>
                <w:sz w:val="24"/>
                <w:szCs w:val="24"/>
              </w:rPr>
            </w:pPr>
            <m:oMath>
              <m:r>
                <w:rPr>
                  <w:rFonts w:ascii="Cambria Math" w:hAnsi="Cambria Math" w:cs="Times New Roman"/>
                  <w:sz w:val="24"/>
                  <w:szCs w:val="24"/>
                </w:rPr>
                <m:t>CBM</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SA</m:t>
                  </m:r>
                </m:sub>
              </m:sSub>
            </m:oMath>
            <w:r w:rsidRPr="00941DA8">
              <w:rPr>
                <w:rFonts w:ascii="Times New Roman" w:eastAsiaTheme="minorEastAsia" w:hAnsi="Times New Roman" w:cs="Times New Roman"/>
                <w:sz w:val="24"/>
                <w:szCs w:val="24"/>
              </w:rPr>
              <w:t xml:space="preserve"> – pārrobežu robežcena attiecīgajā mFRR MTU par mFRR regulēšanas produktu solījumiem ar SA tipu kā noteikts cenu aprēķināšanas metodikā </w:t>
            </w:r>
            <w:r w:rsidRPr="00941DA8">
              <w:rPr>
                <w:rFonts w:ascii="Times New Roman" w:hAnsi="Times New Roman" w:cs="Times New Roman"/>
                <w:sz w:val="24"/>
                <w:szCs w:val="24"/>
              </w:rPr>
              <w:t>(EUR/</w:t>
            </w:r>
            <w:proofErr w:type="spellStart"/>
            <w:r w:rsidRPr="00941DA8">
              <w:rPr>
                <w:rFonts w:ascii="Times New Roman" w:hAnsi="Times New Roman" w:cs="Times New Roman"/>
                <w:sz w:val="24"/>
                <w:szCs w:val="24"/>
              </w:rPr>
              <w:t>MWh</w:t>
            </w:r>
            <w:proofErr w:type="spellEnd"/>
            <w:r w:rsidRPr="00941DA8">
              <w:rPr>
                <w:rFonts w:ascii="Times New Roman" w:hAnsi="Times New Roman" w:cs="Times New Roman"/>
                <w:sz w:val="24"/>
                <w:szCs w:val="24"/>
              </w:rPr>
              <w:t>);</w:t>
            </w:r>
          </w:p>
          <w:p w14:paraId="3397BE3A" w14:textId="33CD4792" w:rsidR="00422A2A" w:rsidRPr="00941DA8" w:rsidRDefault="00422A2A" w:rsidP="005A43AF">
            <w:pPr>
              <w:jc w:val="both"/>
              <w:rPr>
                <w:rFonts w:ascii="Times New Roman" w:hAnsi="Times New Roman" w:cs="Times New Roman"/>
                <w:sz w:val="24"/>
                <w:szCs w:val="24"/>
              </w:rPr>
            </w:pPr>
            <m:oMath>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rPr>
                        <m:t>CBMP</m:t>
                      </m:r>
                    </m:e>
                    <m:sub>
                      <m:r>
                        <w:rPr>
                          <w:rFonts w:ascii="Cambria Math" w:hAnsi="Cambria Math" w:cs="Times New Roman"/>
                          <w:sz w:val="24"/>
                          <w:szCs w:val="24"/>
                        </w:rPr>
                        <m:t>DA</m:t>
                      </m:r>
                    </m:sub>
                  </m:sSub>
                </m:e>
                <m:sub>
                  <m:r>
                    <w:rPr>
                      <w:rFonts w:ascii="Cambria Math" w:hAnsi="Cambria Math" w:cs="Times New Roman"/>
                      <w:sz w:val="24"/>
                      <w:szCs w:val="24"/>
                    </w:rPr>
                    <m:t>1</m:t>
                  </m:r>
                </m:sub>
              </m:sSub>
            </m:oMath>
            <w:r w:rsidRPr="00941DA8">
              <w:rPr>
                <w:rFonts w:ascii="Times New Roman" w:eastAsiaTheme="minorEastAsia" w:hAnsi="Times New Roman" w:cs="Times New Roman"/>
                <w:sz w:val="24"/>
                <w:szCs w:val="24"/>
              </w:rPr>
              <w:t xml:space="preserve">- pārrobežu robežcena attiecīgajā mFRR MTU par mFRR regulēšanas produktu solījumiem ar DA tipu kā noteikts cenu aprēķināšanas metodikā </w:t>
            </w:r>
            <w:r w:rsidRPr="00941DA8">
              <w:rPr>
                <w:rFonts w:ascii="Times New Roman" w:hAnsi="Times New Roman" w:cs="Times New Roman"/>
                <w:sz w:val="24"/>
                <w:szCs w:val="24"/>
              </w:rPr>
              <w:t>(EUR/</w:t>
            </w:r>
            <w:proofErr w:type="spellStart"/>
            <w:r w:rsidRPr="00941DA8">
              <w:rPr>
                <w:rFonts w:ascii="Times New Roman" w:hAnsi="Times New Roman" w:cs="Times New Roman"/>
                <w:sz w:val="24"/>
                <w:szCs w:val="24"/>
              </w:rPr>
              <w:t>MWh</w:t>
            </w:r>
            <w:proofErr w:type="spellEnd"/>
            <w:r w:rsidRPr="00941DA8">
              <w:rPr>
                <w:rFonts w:ascii="Times New Roman" w:hAnsi="Times New Roman" w:cs="Times New Roman"/>
                <w:sz w:val="24"/>
                <w:szCs w:val="24"/>
              </w:rPr>
              <w:t>);</w:t>
            </w:r>
          </w:p>
          <w:p w14:paraId="5F698033" w14:textId="39EE2D37" w:rsidR="00422A2A" w:rsidRPr="00941DA8" w:rsidRDefault="00422A2A" w:rsidP="005A43AF">
            <w:pPr>
              <w:jc w:val="both"/>
              <w:rPr>
                <w:rFonts w:ascii="Times New Roman" w:hAnsi="Times New Roman" w:cs="Times New Roman"/>
                <w:sz w:val="24"/>
                <w:szCs w:val="24"/>
              </w:rPr>
            </w:pPr>
            <m:oMath>
              <m:r>
                <w:rPr>
                  <w:rFonts w:ascii="Cambria Math" w:hAnsi="Cambria Math" w:cs="Times New Roman"/>
                  <w:sz w:val="24"/>
                  <w:szCs w:val="24"/>
                </w:rPr>
                <m:t>CBM</m:t>
              </m:r>
              <m:sSub>
                <m:sSubPr>
                  <m:ctrlPr>
                    <w:rPr>
                      <w:rFonts w:ascii="Cambria Math" w:hAnsi="Cambria Math" w:cs="Times New Roman"/>
                      <w:i/>
                      <w:sz w:val="24"/>
                      <w:szCs w:val="24"/>
                      <w:lang w:val="en-GB"/>
                    </w:rPr>
                  </m:ctrlPr>
                </m:sSubPr>
                <m:e>
                  <m:r>
                    <w:rPr>
                      <w:rFonts w:ascii="Cambria Math" w:hAnsi="Cambria Math" w:cs="Times New Roman"/>
                      <w:sz w:val="24"/>
                      <w:szCs w:val="24"/>
                    </w:rPr>
                    <m:t>P</m:t>
                  </m:r>
                </m:e>
                <m:sub>
                  <m:r>
                    <w:rPr>
                      <w:rFonts w:ascii="Cambria Math" w:hAnsi="Cambria Math" w:cs="Times New Roman"/>
                      <w:sz w:val="24"/>
                      <w:szCs w:val="24"/>
                    </w:rPr>
                    <m:t>D</m:t>
                  </m:r>
                  <m:sSub>
                    <m:sSubPr>
                      <m:ctrlPr>
                        <w:rPr>
                          <w:rFonts w:ascii="Cambria Math" w:hAnsi="Cambria Math" w:cs="Times New Roman"/>
                          <w:i/>
                          <w:sz w:val="24"/>
                          <w:szCs w:val="24"/>
                          <w:lang w:val="en-GB"/>
                        </w:rPr>
                      </m:ctrlPr>
                    </m:sSubPr>
                    <m:e>
                      <m:r>
                        <w:rPr>
                          <w:rFonts w:ascii="Cambria Math" w:hAnsi="Cambria Math" w:cs="Times New Roman"/>
                          <w:sz w:val="24"/>
                          <w:szCs w:val="24"/>
                        </w:rPr>
                        <m:t>A</m:t>
                      </m:r>
                    </m:e>
                    <m:sub>
                      <m:r>
                        <w:rPr>
                          <w:rFonts w:ascii="Cambria Math" w:hAnsi="Cambria Math" w:cs="Times New Roman"/>
                          <w:sz w:val="24"/>
                          <w:szCs w:val="24"/>
                        </w:rPr>
                        <m:t>2</m:t>
                      </m:r>
                    </m:sub>
                  </m:sSub>
                </m:sub>
              </m:sSub>
            </m:oMath>
            <w:r w:rsidRPr="00941DA8">
              <w:rPr>
                <w:rFonts w:ascii="Times New Roman" w:eastAsiaTheme="minorEastAsia" w:hAnsi="Times New Roman" w:cs="Times New Roman"/>
                <w:sz w:val="24"/>
                <w:szCs w:val="24"/>
              </w:rPr>
              <w:t xml:space="preserve"> - pārrobežu robežcena secīgajā mFRR MTU par mFRR regulēšanas produktu solījumiem, kas aktivizēti attiecīgajā mFRR MTU ar DA tipu attiecīgajā virzienā, kā noteikts cenu aprēķināšanas metodikā </w:t>
            </w:r>
            <w:r w:rsidRPr="00941DA8">
              <w:rPr>
                <w:rFonts w:ascii="Times New Roman" w:hAnsi="Times New Roman" w:cs="Times New Roman"/>
                <w:sz w:val="24"/>
                <w:szCs w:val="24"/>
              </w:rPr>
              <w:t>(EUR/</w:t>
            </w:r>
            <w:proofErr w:type="spellStart"/>
            <w:r w:rsidRPr="00941DA8">
              <w:rPr>
                <w:rFonts w:ascii="Times New Roman" w:hAnsi="Times New Roman" w:cs="Times New Roman"/>
                <w:sz w:val="24"/>
                <w:szCs w:val="24"/>
              </w:rPr>
              <w:t>MWh</w:t>
            </w:r>
            <w:proofErr w:type="spellEnd"/>
            <w:r w:rsidRPr="00941DA8">
              <w:rPr>
                <w:rFonts w:ascii="Times New Roman" w:hAnsi="Times New Roman" w:cs="Times New Roman"/>
                <w:sz w:val="24"/>
                <w:szCs w:val="24"/>
              </w:rPr>
              <w:t>);</w:t>
            </w:r>
          </w:p>
          <w:p w14:paraId="7DF68E0E" w14:textId="759F11DA" w:rsidR="00422A2A" w:rsidRPr="00941DA8" w:rsidRDefault="00422A2A" w:rsidP="005A43AF">
            <w:pPr>
              <w:jc w:val="both"/>
              <w:rPr>
                <w:rFonts w:ascii="Times New Roman" w:hAnsi="Times New Roman" w:cs="Times New Roman"/>
                <w:sz w:val="24"/>
                <w:szCs w:val="24"/>
              </w:rPr>
            </w:pPr>
          </w:p>
        </w:tc>
      </w:tr>
      <w:tr w:rsidR="00F527BD" w14:paraId="10196DBA" w14:textId="77777777" w:rsidTr="00F527BD">
        <w:tc>
          <w:tcPr>
            <w:tcW w:w="1276" w:type="dxa"/>
          </w:tcPr>
          <w:p w14:paraId="6DFCD015" w14:textId="7C452CAF" w:rsidR="00422A2A" w:rsidRPr="00941DA8" w:rsidRDefault="00945F64" w:rsidP="00945F64">
            <w:pPr>
              <w:pStyle w:val="Paragraphe"/>
              <w:spacing w:before="0" w:after="0"/>
              <w:ind w:left="340"/>
              <w:rPr>
                <w:rFonts w:ascii="Times New Roman" w:hAnsi="Times New Roman" w:cs="Times New Roman"/>
                <w:sz w:val="24"/>
                <w:lang w:val="en-GB"/>
              </w:rPr>
            </w:pPr>
            <w:r>
              <w:rPr>
                <w:rFonts w:ascii="Times New Roman" w:hAnsi="Times New Roman" w:cs="Times New Roman"/>
                <w:sz w:val="24"/>
                <w:lang w:val="en-GB"/>
              </w:rPr>
              <w:t xml:space="preserve">8.1.3. </w:t>
            </w:r>
          </w:p>
        </w:tc>
        <w:tc>
          <w:tcPr>
            <w:tcW w:w="3890" w:type="dxa"/>
          </w:tcPr>
          <w:p w14:paraId="4AF411F4" w14:textId="0D14B1FC" w:rsidR="00422A2A" w:rsidRPr="00941DA8" w:rsidRDefault="00422A2A" w:rsidP="00945F64">
            <w:pPr>
              <w:pStyle w:val="Paragraphe"/>
              <w:spacing w:before="0" w:after="0"/>
              <w:ind w:left="340"/>
              <w:rPr>
                <w:rFonts w:ascii="Times New Roman" w:hAnsi="Times New Roman" w:cs="Times New Roman"/>
                <w:sz w:val="24"/>
                <w:lang w:val="en-GB"/>
              </w:rPr>
            </w:pPr>
            <w:r w:rsidRPr="00941DA8">
              <w:rPr>
                <w:rFonts w:ascii="Times New Roman" w:hAnsi="Times New Roman" w:cs="Times New Roman"/>
                <w:sz w:val="24"/>
                <w:lang w:val="en-GB"/>
              </w:rPr>
              <w:t xml:space="preserve">Payment for </w:t>
            </w:r>
            <w:proofErr w:type="spellStart"/>
            <w:r w:rsidRPr="00941DA8">
              <w:rPr>
                <w:rFonts w:ascii="Times New Roman" w:hAnsi="Times New Roman" w:cs="Times New Roman"/>
                <w:sz w:val="24"/>
                <w:lang w:val="en-GB"/>
              </w:rPr>
              <w:t>mFRR</w:t>
            </w:r>
            <w:proofErr w:type="spellEnd"/>
            <w:r w:rsidRPr="00941DA8">
              <w:rPr>
                <w:rFonts w:ascii="Times New Roman" w:hAnsi="Times New Roman" w:cs="Times New Roman"/>
                <w:sz w:val="24"/>
                <w:lang w:val="en-GB"/>
              </w:rPr>
              <w:t xml:space="preserve"> balancing energy product bids, which are purchased or sold within the MTU by the TSO in the control area, delivered as normal local activation, is calculated as the product of the amount of energy and LMP </w:t>
            </w:r>
          </w:p>
          <w:p w14:paraId="1061A259"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w:r w:rsidRPr="00941DA8">
              <w:rPr>
                <w:rFonts w:ascii="Times New Roman" w:hAnsi="Times New Roman" w:cs="Times New Roman"/>
                <w:sz w:val="24"/>
                <w:lang w:val="en-GB"/>
              </w:rPr>
              <w:t>as follows:</w:t>
            </w:r>
          </w:p>
          <w:p w14:paraId="0C9DE89B"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r>
                    <w:rPr>
                      <w:rFonts w:ascii="Cambria Math" w:hAnsi="Cambria Math" w:cs="Times New Roman"/>
                      <w:sz w:val="24"/>
                      <w:lang w:val="en-GB"/>
                    </w:rPr>
                    <m:t>S</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l</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SA</m:t>
                  </m:r>
                </m:sub>
              </m:sSub>
              <m:r>
                <w:rPr>
                  <w:rFonts w:ascii="Cambria Math" w:hAnsi="Cambria Math" w:cs="Times New Roman"/>
                  <w:sz w:val="24"/>
                  <w:lang w:val="en-GB"/>
                </w:rPr>
                <m:t>*LMP</m:t>
              </m:r>
            </m:oMath>
            <w:r w:rsidRPr="00941DA8">
              <w:rPr>
                <w:rFonts w:ascii="Times New Roman" w:hAnsi="Times New Roman" w:cs="Times New Roman"/>
                <w:sz w:val="24"/>
                <w:lang w:val="en-GB"/>
              </w:rPr>
              <w:t>,</w:t>
            </w:r>
          </w:p>
          <w:p w14:paraId="20F14599"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DA1</m:t>
                      </m:r>
                    </m:e>
                    <m:sub>
                      <m:r>
                        <w:rPr>
                          <w:rFonts w:ascii="Cambria Math" w:hAnsi="Cambria Math" w:cs="Times New Roman"/>
                          <w:sz w:val="24"/>
                          <w:lang w:val="en-GB"/>
                        </w:rPr>
                        <m:t>l</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DA1</m:t>
                  </m:r>
                </m:sub>
              </m:sSub>
              <m:r>
                <w:rPr>
                  <w:rFonts w:ascii="Cambria Math" w:hAnsi="Cambria Math" w:cs="Times New Roman"/>
                  <w:sz w:val="24"/>
                  <w:lang w:val="en-GB"/>
                </w:rPr>
                <m:t>*LMP</m:t>
              </m:r>
            </m:oMath>
            <w:r w:rsidRPr="00941DA8">
              <w:rPr>
                <w:rFonts w:ascii="Times New Roman" w:hAnsi="Times New Roman" w:cs="Times New Roman"/>
                <w:sz w:val="24"/>
                <w:lang w:val="en-GB"/>
              </w:rPr>
              <w:t>,</w:t>
            </w:r>
          </w:p>
          <w:p w14:paraId="6307B667"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DA2</m:t>
                      </m:r>
                    </m:e>
                    <m:sub>
                      <m:r>
                        <w:rPr>
                          <w:rFonts w:ascii="Cambria Math" w:hAnsi="Cambria Math" w:cs="Times New Roman"/>
                          <w:sz w:val="24"/>
                          <w:lang w:val="en-GB"/>
                        </w:rPr>
                        <m:t>l</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r>
                <w:rPr>
                  <w:rFonts w:ascii="Cambria Math" w:hAnsi="Cambria Math" w:cs="Times New Roman"/>
                  <w:sz w:val="24"/>
                  <w:lang w:val="en-GB"/>
                </w:rPr>
                <m:t>*LMP</m:t>
              </m:r>
            </m:oMath>
            <w:r w:rsidRPr="00941DA8">
              <w:rPr>
                <w:rFonts w:ascii="Times New Roman" w:hAnsi="Times New Roman" w:cs="Times New Roman"/>
                <w:sz w:val="24"/>
                <w:lang w:val="en-GB"/>
              </w:rPr>
              <w:t>,</w:t>
            </w:r>
          </w:p>
          <w:p w14:paraId="39ED739F"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w:proofErr w:type="gramStart"/>
            <w:r w:rsidRPr="00941DA8">
              <w:rPr>
                <w:rFonts w:ascii="Times New Roman" w:hAnsi="Times New Roman" w:cs="Times New Roman"/>
                <w:sz w:val="24"/>
                <w:lang w:val="en-GB"/>
              </w:rPr>
              <w:t>where</w:t>
            </w:r>
            <w:proofErr w:type="gramEnd"/>
          </w:p>
          <w:p w14:paraId="65796B4F"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r>
                    <w:rPr>
                      <w:rFonts w:ascii="Cambria Math" w:hAnsi="Cambria Math" w:cs="Times New Roman"/>
                      <w:sz w:val="24"/>
                      <w:lang w:val="en-GB"/>
                    </w:rPr>
                    <m:t>S</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l</m:t>
                      </m:r>
                    </m:sub>
                  </m:sSub>
                </m:sub>
              </m:sSub>
            </m:oMath>
            <w:r w:rsidRPr="00941DA8">
              <w:rPr>
                <w:rFonts w:ascii="Times New Roman" w:hAnsi="Times New Roman" w:cs="Times New Roman"/>
                <w:sz w:val="24"/>
                <w:lang w:val="en-GB"/>
              </w:rPr>
              <w:t xml:space="preserve"> – payment for mFRR balancing energy product bids with SA type, delivered as normal local activation for the respective mFRR MTU and direction (EUR);</w:t>
            </w:r>
          </w:p>
          <w:p w14:paraId="7E1699A6"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DA1</m:t>
                      </m:r>
                    </m:e>
                    <m:sub>
                      <m:r>
                        <w:rPr>
                          <w:rFonts w:ascii="Cambria Math" w:hAnsi="Cambria Math" w:cs="Times New Roman"/>
                          <w:sz w:val="24"/>
                          <w:lang w:val="en-GB"/>
                        </w:rPr>
                        <m:t>l</m:t>
                      </m:r>
                    </m:sub>
                  </m:sSub>
                </m:sub>
              </m:sSub>
            </m:oMath>
            <w:r w:rsidRPr="00941DA8">
              <w:rPr>
                <w:rFonts w:ascii="Times New Roman" w:hAnsi="Times New Roman" w:cs="Times New Roman"/>
                <w:sz w:val="24"/>
                <w:lang w:val="en-GB"/>
              </w:rPr>
              <w:t xml:space="preserve"> – payment for mFRR balancing energy product bids with DA type, delivered as normal local activation within the respective mFRR MTU (from the start time fixed in the activation command to the end of the respective mFRR MTU) and direction (EUR);</w:t>
            </w:r>
          </w:p>
          <w:p w14:paraId="44118159"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DA2</m:t>
                      </m:r>
                    </m:e>
                    <m:sub>
                      <m:r>
                        <w:rPr>
                          <w:rFonts w:ascii="Cambria Math" w:hAnsi="Cambria Math" w:cs="Times New Roman"/>
                          <w:sz w:val="24"/>
                          <w:lang w:val="en-GB"/>
                        </w:rPr>
                        <m:t>l</m:t>
                      </m:r>
                    </m:sub>
                  </m:sSub>
                </m:sub>
              </m:sSub>
            </m:oMath>
            <w:r w:rsidRPr="00941DA8">
              <w:rPr>
                <w:rFonts w:ascii="Times New Roman" w:hAnsi="Times New Roman" w:cs="Times New Roman"/>
                <w:sz w:val="24"/>
                <w:lang w:val="en-GB"/>
              </w:rPr>
              <w:t xml:space="preserve"> – payment for mFRR balancing energy product bids with DA type, delivered as normal local activation for the subsequent mFRR MTU and respective direction (EUR);</w:t>
            </w:r>
          </w:p>
          <w:p w14:paraId="6E9BF98A"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r>
                <w:rPr>
                  <w:rFonts w:ascii="Cambria Math" w:hAnsi="Cambria Math" w:cs="Times New Roman"/>
                  <w:sz w:val="24"/>
                  <w:lang w:val="en-GB"/>
                </w:rPr>
                <w:lastRenderedPageBreak/>
                <m:t>LMP</m:t>
              </m:r>
            </m:oMath>
            <w:r w:rsidRPr="00941DA8">
              <w:rPr>
                <w:rFonts w:ascii="Times New Roman" w:hAnsi="Times New Roman" w:cs="Times New Roman"/>
                <w:sz w:val="24"/>
                <w:lang w:val="en-GB"/>
              </w:rPr>
              <w:t xml:space="preserve"> – local marginal price for the respective mFRR MTU (EUR/MWh).</w:t>
            </w:r>
          </w:p>
          <w:p w14:paraId="097C80AD" w14:textId="77777777" w:rsidR="00422A2A" w:rsidRPr="00941DA8" w:rsidRDefault="00422A2A" w:rsidP="005A43AF">
            <w:pPr>
              <w:pStyle w:val="Point0number"/>
              <w:numPr>
                <w:ilvl w:val="0"/>
                <w:numId w:val="0"/>
              </w:numPr>
              <w:tabs>
                <w:tab w:val="left" w:pos="720"/>
              </w:tabs>
              <w:spacing w:before="0" w:after="0"/>
              <w:rPr>
                <w:rFonts w:eastAsia="Times New Roman"/>
                <w:b/>
                <w:bCs/>
                <w:szCs w:val="24"/>
                <w:lang w:val="en-US"/>
              </w:rPr>
            </w:pPr>
          </w:p>
        </w:tc>
        <w:tc>
          <w:tcPr>
            <w:tcW w:w="3760" w:type="dxa"/>
          </w:tcPr>
          <w:p w14:paraId="5516D6CC" w14:textId="55291D36"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lastRenderedPageBreak/>
              <w:t>Maksa par regulēšanas enerģiju</w:t>
            </w:r>
            <w:r w:rsidRPr="00941DA8">
              <w:rPr>
                <w:rFonts w:ascii="Times New Roman" w:eastAsiaTheme="minorEastAsia" w:hAnsi="Times New Roman" w:cs="Times New Roman"/>
                <w:sz w:val="24"/>
                <w:szCs w:val="24"/>
                <w:lang w:val="en-GB"/>
              </w:rPr>
              <w:t xml:space="preserve">, </w:t>
            </w:r>
            <w:r w:rsidRPr="00941DA8">
              <w:rPr>
                <w:rFonts w:ascii="Times New Roman" w:hAnsi="Times New Roman" w:cs="Times New Roman"/>
                <w:sz w:val="24"/>
                <w:szCs w:val="24"/>
              </w:rPr>
              <w:t xml:space="preserve">kuru PSO kontroles zonā pircis vai pārdevis MTU ietvaros, kas piegādāta </w:t>
            </w:r>
            <w:proofErr w:type="spellStart"/>
            <w:r w:rsidRPr="00941DA8">
              <w:rPr>
                <w:rFonts w:ascii="Times New Roman" w:eastAsiaTheme="minorEastAsia" w:hAnsi="Times New Roman" w:cs="Times New Roman"/>
                <w:sz w:val="24"/>
                <w:szCs w:val="24"/>
                <w:lang w:val="en-GB"/>
              </w:rPr>
              <w:t>mFRR</w:t>
            </w:r>
            <w:proofErr w:type="spellEnd"/>
            <w:r w:rsidRPr="00941DA8">
              <w:rPr>
                <w:rFonts w:ascii="Times New Roman" w:eastAsiaTheme="minorEastAsia" w:hAnsi="Times New Roman" w:cs="Times New Roman"/>
                <w:sz w:val="24"/>
                <w:szCs w:val="24"/>
                <w:lang w:val="en-GB"/>
              </w:rPr>
              <w:t xml:space="preserve"> </w:t>
            </w:r>
            <w:proofErr w:type="spellStart"/>
            <w:r w:rsidRPr="00941DA8">
              <w:rPr>
                <w:rFonts w:ascii="Times New Roman" w:eastAsiaTheme="minorEastAsia" w:hAnsi="Times New Roman" w:cs="Times New Roman"/>
                <w:sz w:val="24"/>
                <w:szCs w:val="24"/>
                <w:lang w:val="en-GB"/>
              </w:rPr>
              <w:t>regulēšanas</w:t>
            </w:r>
            <w:proofErr w:type="spellEnd"/>
            <w:r w:rsidRPr="00941DA8">
              <w:rPr>
                <w:rFonts w:ascii="Times New Roman" w:eastAsiaTheme="minorEastAsia" w:hAnsi="Times New Roman" w:cs="Times New Roman"/>
                <w:sz w:val="24"/>
                <w:szCs w:val="24"/>
                <w:lang w:val="en-GB"/>
              </w:rPr>
              <w:t xml:space="preserve"> </w:t>
            </w:r>
            <w:proofErr w:type="spellStart"/>
            <w:r w:rsidRPr="00941DA8">
              <w:rPr>
                <w:rFonts w:ascii="Times New Roman" w:eastAsiaTheme="minorEastAsia" w:hAnsi="Times New Roman" w:cs="Times New Roman"/>
                <w:sz w:val="24"/>
                <w:szCs w:val="24"/>
                <w:lang w:val="en-GB"/>
              </w:rPr>
              <w:t>produktu</w:t>
            </w:r>
            <w:proofErr w:type="spellEnd"/>
            <w:r w:rsidRPr="00941DA8">
              <w:rPr>
                <w:rFonts w:ascii="Times New Roman" w:hAnsi="Times New Roman" w:cs="Times New Roman"/>
                <w:sz w:val="24"/>
                <w:szCs w:val="24"/>
              </w:rPr>
              <w:t xml:space="preserve"> lokālā aktivizācijā, tiek aprēķināta kā </w:t>
            </w:r>
            <w:proofErr w:type="spellStart"/>
            <w:r w:rsidRPr="00941DA8">
              <w:rPr>
                <w:rFonts w:ascii="Times New Roman" w:hAnsi="Times New Roman" w:cs="Times New Roman"/>
                <w:sz w:val="24"/>
                <w:szCs w:val="24"/>
              </w:rPr>
              <w:t>mFRR</w:t>
            </w:r>
            <w:proofErr w:type="spellEnd"/>
            <w:r w:rsidRPr="00941DA8">
              <w:rPr>
                <w:rFonts w:ascii="Times New Roman" w:hAnsi="Times New Roman" w:cs="Times New Roman"/>
                <w:sz w:val="24"/>
                <w:szCs w:val="24"/>
              </w:rPr>
              <w:t xml:space="preserve"> regulēšanas enerģijas apjoma un LMP reizinājums</w:t>
            </w:r>
          </w:p>
          <w:p w14:paraId="683B34BC" w14:textId="77777777"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t>šādi:</w:t>
            </w:r>
          </w:p>
          <w:p w14:paraId="42630E54"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r>
                    <w:rPr>
                      <w:rFonts w:ascii="Cambria Math" w:hAnsi="Cambria Math" w:cs="Times New Roman"/>
                      <w:sz w:val="24"/>
                      <w:lang w:val="en-GB"/>
                    </w:rPr>
                    <m:t>S</m:t>
                  </m:r>
                  <m:sSub>
                    <m:sSubPr>
                      <m:ctrlPr>
                        <w:rPr>
                          <w:rFonts w:ascii="Cambria Math" w:hAnsi="Cambria Math" w:cs="Times New Roman"/>
                          <w:i/>
                          <w:sz w:val="24"/>
                          <w:lang w:val="en-GB"/>
                        </w:rPr>
                      </m:ctrlPr>
                    </m:sSubPr>
                    <m:e>
                      <m:r>
                        <w:rPr>
                          <w:rFonts w:ascii="Cambria Math" w:hAnsi="Cambria Math" w:cs="Times New Roman"/>
                          <w:sz w:val="24"/>
                          <w:lang w:val="en-GB"/>
                        </w:rPr>
                        <m:t>A</m:t>
                      </m:r>
                    </m:e>
                    <m:sub>
                      <m:r>
                        <w:rPr>
                          <w:rFonts w:ascii="Cambria Math" w:hAnsi="Cambria Math" w:cs="Times New Roman"/>
                          <w:sz w:val="24"/>
                          <w:lang w:val="en-GB"/>
                        </w:rPr>
                        <m:t>l</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SA</m:t>
                  </m:r>
                </m:sub>
              </m:sSub>
              <m:r>
                <w:rPr>
                  <w:rFonts w:ascii="Cambria Math" w:hAnsi="Cambria Math" w:cs="Times New Roman"/>
                  <w:sz w:val="24"/>
                  <w:lang w:val="en-GB"/>
                </w:rPr>
                <m:t>*LMP</m:t>
              </m:r>
            </m:oMath>
            <w:r w:rsidRPr="00941DA8">
              <w:rPr>
                <w:rFonts w:ascii="Times New Roman" w:hAnsi="Times New Roman" w:cs="Times New Roman"/>
                <w:sz w:val="24"/>
                <w:lang w:val="en-GB"/>
              </w:rPr>
              <w:t>,</w:t>
            </w:r>
          </w:p>
          <w:p w14:paraId="6D2973EB"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DA1</m:t>
                      </m:r>
                    </m:e>
                    <m:sub>
                      <m:r>
                        <w:rPr>
                          <w:rFonts w:ascii="Cambria Math" w:hAnsi="Cambria Math" w:cs="Times New Roman"/>
                          <w:sz w:val="24"/>
                          <w:lang w:val="en-GB"/>
                        </w:rPr>
                        <m:t>l</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DA1</m:t>
                  </m:r>
                </m:sub>
              </m:sSub>
              <m:r>
                <w:rPr>
                  <w:rFonts w:ascii="Cambria Math" w:hAnsi="Cambria Math" w:cs="Times New Roman"/>
                  <w:sz w:val="24"/>
                  <w:lang w:val="en-GB"/>
                </w:rPr>
                <m:t>*LMP</m:t>
              </m:r>
            </m:oMath>
            <w:r w:rsidRPr="00941DA8">
              <w:rPr>
                <w:rFonts w:ascii="Times New Roman" w:hAnsi="Times New Roman" w:cs="Times New Roman"/>
                <w:sz w:val="24"/>
                <w:lang w:val="en-GB"/>
              </w:rPr>
              <w:t>,</w:t>
            </w:r>
          </w:p>
          <w:p w14:paraId="6A51028B" w14:textId="77777777" w:rsidR="00422A2A" w:rsidRPr="00941DA8" w:rsidRDefault="00422A2A" w:rsidP="005A43AF">
            <w:pPr>
              <w:pStyle w:val="Paragraphe"/>
              <w:spacing w:before="0" w:after="0"/>
              <w:ind w:left="357" w:firstLine="352"/>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M</m:t>
                  </m:r>
                </m:e>
                <m:sub>
                  <m:sSub>
                    <m:sSubPr>
                      <m:ctrlPr>
                        <w:rPr>
                          <w:rFonts w:ascii="Cambria Math" w:hAnsi="Cambria Math" w:cs="Times New Roman"/>
                          <w:i/>
                          <w:sz w:val="24"/>
                          <w:lang w:val="en-GB"/>
                        </w:rPr>
                      </m:ctrlPr>
                    </m:sSubPr>
                    <m:e>
                      <m:r>
                        <w:rPr>
                          <w:rFonts w:ascii="Cambria Math" w:hAnsi="Cambria Math" w:cs="Times New Roman"/>
                          <w:sz w:val="24"/>
                          <w:lang w:val="en-GB"/>
                        </w:rPr>
                        <m:t>DA2</m:t>
                      </m:r>
                    </m:e>
                    <m:sub>
                      <m:r>
                        <w:rPr>
                          <w:rFonts w:ascii="Cambria Math" w:hAnsi="Cambria Math" w:cs="Times New Roman"/>
                          <w:sz w:val="24"/>
                          <w:lang w:val="en-GB"/>
                        </w:rPr>
                        <m:t>l</m:t>
                      </m:r>
                    </m:sub>
                  </m:sSub>
                </m:sub>
              </m:sSub>
              <m:r>
                <w:rPr>
                  <w:rFonts w:ascii="Cambria Math" w:hAnsi="Cambria Math" w:cs="Times New Roman"/>
                  <w:sz w:val="24"/>
                  <w:lang w:val="en-GB"/>
                </w:rPr>
                <m:t>=</m:t>
              </m:r>
              <m:sSub>
                <m:sSubPr>
                  <m:ctrlPr>
                    <w:rPr>
                      <w:rFonts w:ascii="Cambria Math" w:hAnsi="Cambria Math" w:cs="Times New Roman"/>
                      <w:i/>
                      <w:sz w:val="24"/>
                      <w:lang w:val="en-GB"/>
                    </w:rPr>
                  </m:ctrlPr>
                </m:sSubPr>
                <m:e>
                  <m:r>
                    <w:rPr>
                      <w:rFonts w:ascii="Cambria Math" w:hAnsi="Cambria Math" w:cs="Times New Roman"/>
                      <w:sz w:val="24"/>
                      <w:lang w:val="en-GB"/>
                    </w:rPr>
                    <m:t>E</m:t>
                  </m:r>
                </m:e>
                <m:sub>
                  <m:r>
                    <w:rPr>
                      <w:rFonts w:ascii="Cambria Math" w:hAnsi="Cambria Math" w:cs="Times New Roman"/>
                      <w:sz w:val="24"/>
                      <w:lang w:val="en-GB"/>
                    </w:rPr>
                    <m:t>DA2</m:t>
                  </m:r>
                </m:sub>
              </m:sSub>
              <m:r>
                <w:rPr>
                  <w:rFonts w:ascii="Cambria Math" w:hAnsi="Cambria Math" w:cs="Times New Roman"/>
                  <w:sz w:val="24"/>
                  <w:lang w:val="en-GB"/>
                </w:rPr>
                <m:t>*LMP</m:t>
              </m:r>
            </m:oMath>
            <w:r w:rsidRPr="00941DA8">
              <w:rPr>
                <w:rFonts w:ascii="Times New Roman" w:hAnsi="Times New Roman" w:cs="Times New Roman"/>
                <w:sz w:val="24"/>
                <w:lang w:val="en-GB"/>
              </w:rPr>
              <w:t>,</w:t>
            </w:r>
          </w:p>
          <w:p w14:paraId="40DB7838" w14:textId="77777777" w:rsidR="00422A2A" w:rsidRPr="00941DA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t>kur</w:t>
            </w:r>
          </w:p>
          <w:p w14:paraId="2D8CB2FD" w14:textId="031EEC19" w:rsidR="00422A2A" w:rsidRPr="00941DA8" w:rsidRDefault="00422A2A" w:rsidP="005A43AF">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M</m:t>
                  </m:r>
                </m:e>
                <m:sub>
                  <m:r>
                    <w:rPr>
                      <w:rFonts w:ascii="Cambria Math" w:hAnsi="Cambria Math" w:cs="Times New Roman"/>
                      <w:sz w:val="24"/>
                      <w:szCs w:val="24"/>
                    </w:rPr>
                    <m:t>S</m:t>
                  </m:r>
                  <m:sSub>
                    <m:sSubPr>
                      <m:ctrlPr>
                        <w:rPr>
                          <w:rFonts w:ascii="Cambria Math" w:hAnsi="Cambria Math" w:cs="Times New Roman"/>
                          <w:i/>
                          <w:sz w:val="24"/>
                          <w:szCs w:val="24"/>
                          <w:lang w:val="en-GB"/>
                        </w:rPr>
                      </m:ctrlPr>
                    </m:sSubPr>
                    <m:e>
                      <m:r>
                        <w:rPr>
                          <w:rFonts w:ascii="Cambria Math" w:hAnsi="Cambria Math" w:cs="Times New Roman"/>
                          <w:sz w:val="24"/>
                          <w:szCs w:val="24"/>
                        </w:rPr>
                        <m:t>A</m:t>
                      </m:r>
                    </m:e>
                    <m:sub>
                      <m:r>
                        <w:rPr>
                          <w:rFonts w:ascii="Cambria Math" w:hAnsi="Cambria Math" w:cs="Times New Roman"/>
                          <w:sz w:val="24"/>
                          <w:szCs w:val="24"/>
                        </w:rPr>
                        <m:t>l</m:t>
                      </m:r>
                    </m:sub>
                  </m:sSub>
                </m:sub>
              </m:sSub>
            </m:oMath>
            <w:r w:rsidRPr="003C534E">
              <w:rPr>
                <w:rFonts w:ascii="Times New Roman" w:eastAsiaTheme="minorEastAsia" w:hAnsi="Times New Roman" w:cs="Times New Roman"/>
                <w:sz w:val="24"/>
                <w:szCs w:val="24"/>
              </w:rPr>
              <w:t xml:space="preserve"> – </w:t>
            </w:r>
            <w:r w:rsidRPr="00941DA8">
              <w:rPr>
                <w:rFonts w:ascii="Times New Roman" w:eastAsiaTheme="minorEastAsia" w:hAnsi="Times New Roman" w:cs="Times New Roman"/>
                <w:sz w:val="24"/>
                <w:szCs w:val="24"/>
              </w:rPr>
              <w:t xml:space="preserve">maksa par regulēšanas enerģiju </w:t>
            </w:r>
            <w:proofErr w:type="spellStart"/>
            <w:r w:rsidRPr="00941DA8">
              <w:rPr>
                <w:rFonts w:ascii="Times New Roman" w:eastAsiaTheme="minorEastAsia" w:hAnsi="Times New Roman" w:cs="Times New Roman"/>
                <w:sz w:val="24"/>
                <w:szCs w:val="24"/>
              </w:rPr>
              <w:t>mFRR</w:t>
            </w:r>
            <w:proofErr w:type="spellEnd"/>
            <w:r w:rsidRPr="00941DA8">
              <w:rPr>
                <w:rFonts w:ascii="Times New Roman" w:eastAsiaTheme="minorEastAsia" w:hAnsi="Times New Roman" w:cs="Times New Roman"/>
                <w:sz w:val="24"/>
                <w:szCs w:val="24"/>
              </w:rPr>
              <w:t xml:space="preserve"> produktu solījumiem, kas aktivizēti ar SA tipu, veicot normālo lokālo aktivizāciju attiecīgajam </w:t>
            </w:r>
            <w:proofErr w:type="spellStart"/>
            <w:r w:rsidRPr="00941DA8">
              <w:rPr>
                <w:rFonts w:ascii="Times New Roman" w:eastAsiaTheme="minorEastAsia" w:hAnsi="Times New Roman" w:cs="Times New Roman"/>
                <w:sz w:val="24"/>
                <w:szCs w:val="24"/>
              </w:rPr>
              <w:t>mFRR</w:t>
            </w:r>
            <w:proofErr w:type="spellEnd"/>
            <w:r w:rsidRPr="00941DA8">
              <w:rPr>
                <w:rFonts w:ascii="Times New Roman" w:eastAsiaTheme="minorEastAsia" w:hAnsi="Times New Roman" w:cs="Times New Roman"/>
                <w:sz w:val="24"/>
                <w:szCs w:val="24"/>
              </w:rPr>
              <w:t xml:space="preserve"> MTU un virzienam (EUR);</w:t>
            </w:r>
          </w:p>
          <w:p w14:paraId="169AA739" w14:textId="0A04FA63" w:rsidR="00422A2A" w:rsidRPr="00941DA8" w:rsidRDefault="00422A2A" w:rsidP="005A43AF">
            <w:pPr>
              <w:jc w:val="both"/>
              <w:rPr>
                <w:rFonts w:ascii="Times New Roman" w:eastAsia="Times New Roman" w:hAnsi="Times New Roman" w:cs="Times New Roman"/>
                <w:kern w:val="0"/>
                <w:sz w:val="24"/>
                <w:szCs w:val="24"/>
                <w:lang w:eastAsia="fr-FR"/>
                <w14:ligatures w14:val="none"/>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M</m:t>
                  </m:r>
                </m:e>
                <m:sub>
                  <m:sSub>
                    <m:sSubPr>
                      <m:ctrlPr>
                        <w:rPr>
                          <w:rFonts w:ascii="Cambria Math" w:hAnsi="Cambria Math" w:cs="Times New Roman"/>
                          <w:i/>
                          <w:sz w:val="24"/>
                          <w:szCs w:val="24"/>
                          <w:lang w:val="en-GB"/>
                        </w:rPr>
                      </m:ctrlPr>
                    </m:sSubPr>
                    <m:e>
                      <m:r>
                        <w:rPr>
                          <w:rFonts w:ascii="Cambria Math" w:hAnsi="Cambria Math" w:cs="Times New Roman"/>
                          <w:sz w:val="24"/>
                          <w:szCs w:val="24"/>
                        </w:rPr>
                        <m:t>DA1</m:t>
                      </m:r>
                    </m:e>
                    <m:sub>
                      <m:r>
                        <w:rPr>
                          <w:rFonts w:ascii="Cambria Math" w:hAnsi="Cambria Math" w:cs="Times New Roman"/>
                          <w:sz w:val="24"/>
                          <w:szCs w:val="24"/>
                        </w:rPr>
                        <m:t>l</m:t>
                      </m:r>
                    </m:sub>
                  </m:sSub>
                </m:sub>
              </m:sSub>
            </m:oMath>
            <w:r w:rsidRPr="00941DA8">
              <w:rPr>
                <w:rFonts w:ascii="Times New Roman" w:eastAsiaTheme="minorEastAsia" w:hAnsi="Times New Roman" w:cs="Times New Roman"/>
                <w:sz w:val="24"/>
                <w:szCs w:val="24"/>
              </w:rPr>
              <w:t xml:space="preserve"> - maksa par regulēšanas enerģiju mFRR produktu solījumiem, kas aktivizēti ar DA tipu, veicot normālo lokālo aktivizāciju  attiecīgajam mFRR MTU </w:t>
            </w:r>
            <w:r w:rsidRPr="00941DA8">
              <w:rPr>
                <w:rFonts w:ascii="Times New Roman" w:eastAsia="Times New Roman" w:hAnsi="Times New Roman" w:cs="Times New Roman"/>
                <w:kern w:val="0"/>
                <w:sz w:val="24"/>
                <w:szCs w:val="24"/>
                <w:lang w:eastAsia="fr-FR"/>
                <w14:ligatures w14:val="none"/>
              </w:rPr>
              <w:t xml:space="preserve">(no aktivizācijas komandā fiksētā sākuma laika līdz attiecīgā </w:t>
            </w:r>
            <w:proofErr w:type="spellStart"/>
            <w:r w:rsidRPr="00941DA8">
              <w:rPr>
                <w:rFonts w:ascii="Times New Roman" w:eastAsia="Times New Roman" w:hAnsi="Times New Roman" w:cs="Times New Roman"/>
                <w:kern w:val="0"/>
                <w:sz w:val="24"/>
                <w:szCs w:val="24"/>
                <w:lang w:eastAsia="fr-FR"/>
                <w14:ligatures w14:val="none"/>
              </w:rPr>
              <w:t>mFRR</w:t>
            </w:r>
            <w:proofErr w:type="spellEnd"/>
            <w:r w:rsidRPr="00941DA8">
              <w:rPr>
                <w:rFonts w:ascii="Times New Roman" w:eastAsia="Times New Roman" w:hAnsi="Times New Roman" w:cs="Times New Roman"/>
                <w:kern w:val="0"/>
                <w:sz w:val="24"/>
                <w:szCs w:val="24"/>
                <w:lang w:eastAsia="fr-FR"/>
                <w14:ligatures w14:val="none"/>
              </w:rPr>
              <w:t xml:space="preserve"> MTU beigām) un virzienam (</w:t>
            </w:r>
            <w:proofErr w:type="spellStart"/>
            <w:r w:rsidRPr="00941DA8">
              <w:rPr>
                <w:rFonts w:ascii="Times New Roman" w:eastAsia="Times New Roman" w:hAnsi="Times New Roman" w:cs="Times New Roman"/>
                <w:kern w:val="0"/>
                <w:sz w:val="24"/>
                <w:szCs w:val="24"/>
                <w:lang w:eastAsia="fr-FR"/>
                <w14:ligatures w14:val="none"/>
              </w:rPr>
              <w:t>MWh</w:t>
            </w:r>
            <w:proofErr w:type="spellEnd"/>
            <w:r w:rsidRPr="00941DA8">
              <w:rPr>
                <w:rFonts w:ascii="Times New Roman" w:eastAsia="Times New Roman" w:hAnsi="Times New Roman" w:cs="Times New Roman"/>
                <w:kern w:val="0"/>
                <w:sz w:val="24"/>
                <w:szCs w:val="24"/>
                <w:lang w:eastAsia="fr-FR"/>
                <w14:ligatures w14:val="none"/>
              </w:rPr>
              <w:t>);</w:t>
            </w:r>
          </w:p>
          <w:p w14:paraId="460DE044" w14:textId="253669CC" w:rsidR="00422A2A" w:rsidRPr="00941DA8" w:rsidRDefault="00422A2A" w:rsidP="005A43AF">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rPr>
                    <m:t>M</m:t>
                  </m:r>
                </m:e>
                <m:sub>
                  <m:sSub>
                    <m:sSubPr>
                      <m:ctrlPr>
                        <w:rPr>
                          <w:rFonts w:ascii="Cambria Math" w:hAnsi="Cambria Math" w:cs="Times New Roman"/>
                          <w:i/>
                          <w:sz w:val="24"/>
                          <w:szCs w:val="24"/>
                          <w:lang w:val="en-GB"/>
                        </w:rPr>
                      </m:ctrlPr>
                    </m:sSubPr>
                    <m:e>
                      <m:r>
                        <w:rPr>
                          <w:rFonts w:ascii="Cambria Math" w:hAnsi="Cambria Math" w:cs="Times New Roman"/>
                          <w:sz w:val="24"/>
                          <w:szCs w:val="24"/>
                        </w:rPr>
                        <m:t>DA2</m:t>
                      </m:r>
                    </m:e>
                    <m:sub>
                      <m:r>
                        <w:rPr>
                          <w:rFonts w:ascii="Cambria Math" w:hAnsi="Cambria Math" w:cs="Times New Roman"/>
                          <w:sz w:val="24"/>
                          <w:szCs w:val="24"/>
                        </w:rPr>
                        <m:t>l</m:t>
                      </m:r>
                    </m:sub>
                  </m:sSub>
                </m:sub>
              </m:sSub>
            </m:oMath>
            <w:r w:rsidRPr="00941DA8">
              <w:rPr>
                <w:rFonts w:ascii="Times New Roman" w:eastAsiaTheme="minorEastAsia" w:hAnsi="Times New Roman" w:cs="Times New Roman"/>
                <w:sz w:val="24"/>
                <w:szCs w:val="24"/>
              </w:rPr>
              <w:t xml:space="preserve"> - maksa par regulēšanas enerģiju mFRR produktu solījumiem, kas aktivizēti ar DA tipu, veicot normālo lokālo aktivizāciju attiecīgajam mFRR MTU un </w:t>
            </w:r>
            <w:r w:rsidRPr="00941DA8">
              <w:rPr>
                <w:rFonts w:ascii="Times New Roman" w:eastAsiaTheme="minorEastAsia" w:hAnsi="Times New Roman" w:cs="Times New Roman"/>
                <w:sz w:val="24"/>
                <w:szCs w:val="24"/>
              </w:rPr>
              <w:lastRenderedPageBreak/>
              <w:t xml:space="preserve">virzienam, kas piegādāts  secīgajā  mFRR MTU (EUR); </w:t>
            </w:r>
          </w:p>
          <w:p w14:paraId="0861196F" w14:textId="01902BAE" w:rsidR="00422A2A" w:rsidRPr="00941DA8" w:rsidRDefault="00422A2A" w:rsidP="005A43AF">
            <w:pPr>
              <w:jc w:val="both"/>
              <w:rPr>
                <w:rFonts w:ascii="Times New Roman" w:eastAsiaTheme="minorEastAsia" w:hAnsi="Times New Roman" w:cs="Times New Roman"/>
                <w:sz w:val="24"/>
                <w:szCs w:val="24"/>
              </w:rPr>
            </w:pPr>
            <w:r w:rsidRPr="00941DA8">
              <w:rPr>
                <w:rFonts w:ascii="Times New Roman" w:eastAsiaTheme="minorEastAsia" w:hAnsi="Times New Roman" w:cs="Times New Roman"/>
                <w:sz w:val="24"/>
                <w:szCs w:val="24"/>
              </w:rPr>
              <w:t xml:space="preserve">LMP – lokālā robežcena attiecīgajā </w:t>
            </w:r>
            <w:proofErr w:type="spellStart"/>
            <w:r w:rsidRPr="00941DA8">
              <w:rPr>
                <w:rFonts w:ascii="Times New Roman" w:eastAsiaTheme="minorEastAsia" w:hAnsi="Times New Roman" w:cs="Times New Roman"/>
                <w:sz w:val="24"/>
                <w:szCs w:val="24"/>
              </w:rPr>
              <w:t>mFRR</w:t>
            </w:r>
            <w:proofErr w:type="spellEnd"/>
            <w:r w:rsidRPr="00941DA8">
              <w:rPr>
                <w:rFonts w:ascii="Times New Roman" w:eastAsiaTheme="minorEastAsia" w:hAnsi="Times New Roman" w:cs="Times New Roman"/>
                <w:sz w:val="24"/>
                <w:szCs w:val="24"/>
              </w:rPr>
              <w:t xml:space="preserve"> MTU (EUR/</w:t>
            </w:r>
            <w:proofErr w:type="spellStart"/>
            <w:r w:rsidRPr="00941DA8">
              <w:rPr>
                <w:rFonts w:ascii="Times New Roman" w:eastAsiaTheme="minorEastAsia" w:hAnsi="Times New Roman" w:cs="Times New Roman"/>
                <w:sz w:val="24"/>
                <w:szCs w:val="24"/>
              </w:rPr>
              <w:t>MWh</w:t>
            </w:r>
            <w:proofErr w:type="spellEnd"/>
            <w:r w:rsidRPr="00941DA8">
              <w:rPr>
                <w:rFonts w:ascii="Times New Roman" w:eastAsiaTheme="minorEastAsia" w:hAnsi="Times New Roman" w:cs="Times New Roman"/>
                <w:sz w:val="24"/>
                <w:szCs w:val="24"/>
              </w:rPr>
              <w:t>)</w:t>
            </w:r>
          </w:p>
        </w:tc>
      </w:tr>
      <w:tr w:rsidR="00F527BD" w14:paraId="2C87DE8C" w14:textId="77777777" w:rsidTr="00F527BD">
        <w:tc>
          <w:tcPr>
            <w:tcW w:w="1276" w:type="dxa"/>
          </w:tcPr>
          <w:p w14:paraId="06C57C0F" w14:textId="2598471B" w:rsidR="00422A2A" w:rsidRDefault="00422A2A" w:rsidP="00945F64">
            <w:pPr>
              <w:pStyle w:val="Paragraphe"/>
              <w:numPr>
                <w:ilvl w:val="1"/>
                <w:numId w:val="58"/>
              </w:numPr>
              <w:spacing w:before="0" w:after="0"/>
              <w:jc w:val="center"/>
              <w:rPr>
                <w:rFonts w:ascii="Times New Roman" w:hAnsi="Times New Roman" w:cs="Times New Roman"/>
                <w:sz w:val="24"/>
                <w:lang w:val="lv-LV"/>
              </w:rPr>
            </w:pPr>
          </w:p>
        </w:tc>
        <w:tc>
          <w:tcPr>
            <w:tcW w:w="3890" w:type="dxa"/>
          </w:tcPr>
          <w:p w14:paraId="3BE840A0" w14:textId="04D03F5F" w:rsidR="00422A2A" w:rsidRPr="0030041C" w:rsidRDefault="00422A2A" w:rsidP="00945F64">
            <w:pPr>
              <w:pStyle w:val="Paragraphe"/>
              <w:spacing w:before="0" w:after="0"/>
              <w:ind w:left="67"/>
              <w:rPr>
                <w:rFonts w:ascii="Times New Roman" w:hAnsi="Times New Roman" w:cs="Times New Roman"/>
                <w:sz w:val="24"/>
                <w:lang w:val="lv-LV"/>
              </w:rPr>
            </w:pPr>
            <w:proofErr w:type="spellStart"/>
            <w:r w:rsidRPr="00266188">
              <w:rPr>
                <w:rFonts w:ascii="Times New Roman" w:hAnsi="Times New Roman" w:cs="Times New Roman"/>
                <w:sz w:val="24"/>
                <w:lang w:val="lv-LV"/>
              </w:rPr>
              <w:t>The</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determination</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of</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the</w:t>
            </w:r>
            <w:proofErr w:type="spellEnd"/>
            <w:r w:rsidRPr="00266188">
              <w:rPr>
                <w:rFonts w:ascii="Times New Roman" w:hAnsi="Times New Roman" w:cs="Times New Roman"/>
                <w:sz w:val="24"/>
                <w:lang w:val="lv-LV"/>
              </w:rPr>
              <w:t xml:space="preserve"> </w:t>
            </w:r>
            <w:proofErr w:type="spellStart"/>
            <w:r>
              <w:rPr>
                <w:rFonts w:ascii="Times New Roman" w:hAnsi="Times New Roman" w:cs="Times New Roman"/>
                <w:sz w:val="24"/>
                <w:lang w:val="lv-LV"/>
              </w:rPr>
              <w:t>a</w:t>
            </w:r>
            <w:r w:rsidRPr="00266188">
              <w:rPr>
                <w:rFonts w:ascii="Times New Roman" w:hAnsi="Times New Roman" w:cs="Times New Roman"/>
                <w:sz w:val="24"/>
                <w:lang w:val="lv-LV"/>
              </w:rPr>
              <w:t>FRR</w:t>
            </w:r>
            <w:proofErr w:type="spellEnd"/>
            <w:r w:rsidRPr="00266188">
              <w:rPr>
                <w:rFonts w:ascii="Times New Roman" w:hAnsi="Times New Roman" w:cs="Times New Roman"/>
                <w:sz w:val="24"/>
                <w:lang w:val="lv-LV"/>
              </w:rPr>
              <w:t xml:space="preserve"> </w:t>
            </w:r>
            <w:proofErr w:type="spellStart"/>
            <w:r>
              <w:rPr>
                <w:rFonts w:ascii="Times New Roman" w:hAnsi="Times New Roman" w:cs="Times New Roman"/>
                <w:sz w:val="24"/>
                <w:lang w:val="lv-LV"/>
              </w:rPr>
              <w:t>balancing</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energy</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and</w:t>
            </w:r>
            <w:proofErr w:type="spellEnd"/>
            <w:r w:rsidRPr="00266188">
              <w:rPr>
                <w:rFonts w:ascii="Times New Roman" w:hAnsi="Times New Roman" w:cs="Times New Roman"/>
                <w:sz w:val="24"/>
                <w:lang w:val="lv-LV"/>
              </w:rPr>
              <w:t xml:space="preserve"> </w:t>
            </w:r>
            <w:proofErr w:type="spellStart"/>
            <w:r>
              <w:rPr>
                <w:rFonts w:ascii="Times New Roman" w:hAnsi="Times New Roman" w:cs="Times New Roman"/>
                <w:sz w:val="24"/>
                <w:lang w:val="lv-LV"/>
              </w:rPr>
              <w:t>payment</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is</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carried</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out</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as</w:t>
            </w:r>
            <w:proofErr w:type="spellEnd"/>
            <w:r w:rsidRPr="00266188">
              <w:rPr>
                <w:rFonts w:ascii="Times New Roman" w:hAnsi="Times New Roman" w:cs="Times New Roman"/>
                <w:sz w:val="24"/>
                <w:lang w:val="lv-LV"/>
              </w:rPr>
              <w:t xml:space="preserve"> </w:t>
            </w:r>
            <w:proofErr w:type="spellStart"/>
            <w:r w:rsidRPr="00266188">
              <w:rPr>
                <w:rFonts w:ascii="Times New Roman" w:hAnsi="Times New Roman" w:cs="Times New Roman"/>
                <w:sz w:val="24"/>
                <w:lang w:val="lv-LV"/>
              </w:rPr>
              <w:t>follows</w:t>
            </w:r>
            <w:proofErr w:type="spellEnd"/>
            <w:r w:rsidRPr="00266188">
              <w:rPr>
                <w:rFonts w:ascii="Times New Roman" w:hAnsi="Times New Roman" w:cs="Times New Roman"/>
                <w:sz w:val="24"/>
                <w:lang w:val="lv-LV"/>
              </w:rPr>
              <w:t>:</w:t>
            </w:r>
          </w:p>
        </w:tc>
        <w:tc>
          <w:tcPr>
            <w:tcW w:w="3760" w:type="dxa"/>
          </w:tcPr>
          <w:p w14:paraId="5804002F" w14:textId="1AC8B6AC" w:rsidR="00422A2A" w:rsidRPr="0030041C" w:rsidRDefault="00422A2A" w:rsidP="005A43AF">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BC6DB3">
              <w:rPr>
                <w:rFonts w:ascii="Times New Roman" w:hAnsi="Times New Roman" w:cs="Times New Roman"/>
                <w:sz w:val="24"/>
                <w:szCs w:val="24"/>
              </w:rPr>
              <w:t>FRR</w:t>
            </w:r>
            <w:proofErr w:type="spellEnd"/>
            <w:r w:rsidRPr="00BC6DB3">
              <w:rPr>
                <w:rFonts w:ascii="Times New Roman" w:hAnsi="Times New Roman" w:cs="Times New Roman"/>
                <w:sz w:val="24"/>
                <w:szCs w:val="24"/>
              </w:rPr>
              <w:t xml:space="preserve"> regulēšanas enerģijas un maksas noteikšana tiek veikta šādi:</w:t>
            </w:r>
          </w:p>
        </w:tc>
      </w:tr>
      <w:tr w:rsidR="00F527BD" w14:paraId="29DFADB7" w14:textId="77777777" w:rsidTr="00F527BD">
        <w:tc>
          <w:tcPr>
            <w:tcW w:w="1276" w:type="dxa"/>
          </w:tcPr>
          <w:p w14:paraId="4BBC9DE5" w14:textId="7ED81C66" w:rsidR="00422A2A" w:rsidRPr="003C6318" w:rsidRDefault="00422A2A" w:rsidP="00945F64">
            <w:pPr>
              <w:pStyle w:val="Paragraphe"/>
              <w:numPr>
                <w:ilvl w:val="2"/>
                <w:numId w:val="58"/>
              </w:numPr>
              <w:spacing w:before="0" w:after="0"/>
              <w:rPr>
                <w:rFonts w:ascii="Times New Roman" w:hAnsi="Times New Roman" w:cs="Times New Roman"/>
                <w:sz w:val="24"/>
                <w:lang w:val="en-GB"/>
              </w:rPr>
            </w:pPr>
          </w:p>
        </w:tc>
        <w:tc>
          <w:tcPr>
            <w:tcW w:w="3890" w:type="dxa"/>
          </w:tcPr>
          <w:p w14:paraId="63D1E313" w14:textId="6135103B" w:rsidR="00422A2A" w:rsidRDefault="00422A2A" w:rsidP="00945F64">
            <w:pPr>
              <w:pStyle w:val="Paragraphe"/>
              <w:spacing w:before="0" w:after="0"/>
              <w:rPr>
                <w:rFonts w:ascii="Times New Roman" w:hAnsi="Times New Roman" w:cs="Times New Roman"/>
                <w:sz w:val="24"/>
                <w:lang w:val="en-GB"/>
              </w:rPr>
            </w:pPr>
            <w:r w:rsidRPr="003C6318">
              <w:rPr>
                <w:rFonts w:ascii="Times New Roman" w:hAnsi="Times New Roman" w:cs="Times New Roman"/>
                <w:sz w:val="24"/>
                <w:lang w:val="en-GB"/>
              </w:rPr>
              <w:t xml:space="preserve">The amount of </w:t>
            </w:r>
            <w:proofErr w:type="spellStart"/>
            <w:r w:rsidRPr="003C6318">
              <w:rPr>
                <w:rFonts w:ascii="Times New Roman" w:hAnsi="Times New Roman" w:cs="Times New Roman"/>
                <w:sz w:val="24"/>
                <w:lang w:val="en-GB"/>
              </w:rPr>
              <w:t>aFRR</w:t>
            </w:r>
            <w:proofErr w:type="spellEnd"/>
            <w:r w:rsidRPr="003C6318">
              <w:rPr>
                <w:rFonts w:ascii="Times New Roman" w:hAnsi="Times New Roman" w:cs="Times New Roman"/>
                <w:sz w:val="24"/>
                <w:lang w:val="en-GB"/>
              </w:rPr>
              <w:t xml:space="preserve"> regulation energy bought or sold in the TSO's control area is calculated as the multiplication of the capacity of activated bid and activization period in respective </w:t>
            </w:r>
            <w:proofErr w:type="spellStart"/>
            <w:r w:rsidRPr="003C6318">
              <w:rPr>
                <w:rFonts w:ascii="Times New Roman" w:hAnsi="Times New Roman" w:cs="Times New Roman"/>
                <w:sz w:val="24"/>
                <w:lang w:val="en-GB"/>
              </w:rPr>
              <w:t>aFRR</w:t>
            </w:r>
            <w:proofErr w:type="spellEnd"/>
            <w:r w:rsidRPr="003C6318">
              <w:rPr>
                <w:rFonts w:ascii="Times New Roman" w:hAnsi="Times New Roman" w:cs="Times New Roman"/>
                <w:sz w:val="24"/>
                <w:lang w:val="en-GB"/>
              </w:rPr>
              <w:t xml:space="preserve"> MTU as follows:</w:t>
            </w:r>
          </w:p>
          <w:p w14:paraId="61383BFC" w14:textId="77777777" w:rsidR="00422A2A" w:rsidRDefault="00422A2A" w:rsidP="005A43AF">
            <w:pPr>
              <w:pStyle w:val="Paragraphe"/>
              <w:spacing w:before="0" w:after="0"/>
              <w:ind w:left="457" w:hanging="457"/>
              <w:rPr>
                <w:rFonts w:ascii="Times New Roman" w:hAnsi="Times New Roman" w:cs="Times New Roman"/>
                <w:sz w:val="24"/>
                <w:lang w:val="en-GB"/>
              </w:rPr>
            </w:pPr>
          </w:p>
          <w:p w14:paraId="6C850AF6" w14:textId="77777777" w:rsidR="00422A2A" w:rsidRDefault="00422A2A" w:rsidP="005A43AF">
            <w:pPr>
              <w:jc w:val="both"/>
              <w:rPr>
                <w:rFonts w:ascii="Times New Roman" w:eastAsiaTheme="minorEastAsia" w:hAnsi="Times New Roman" w:cs="Times New Roman"/>
                <w:sz w:val="24"/>
              </w:rPr>
            </w:pPr>
            <m:oMath>
              <m:sSub>
                <m:sSubPr>
                  <m:ctrlPr>
                    <w:rPr>
                      <w:rFonts w:ascii="Cambria Math" w:hAnsi="Cambria Math" w:cs="Times New Roman"/>
                      <w:i/>
                      <w:sz w:val="24"/>
                      <w:lang w:val="en-GB"/>
                    </w:rPr>
                  </m:ctrlPr>
                </m:sSubPr>
                <m:e>
                  <m:r>
                    <w:rPr>
                      <w:rFonts w:ascii="Cambria Math" w:hAnsi="Cambria Math" w:cs="Times New Roman"/>
                      <w:sz w:val="24"/>
                    </w:rPr>
                    <m:t>E</m:t>
                  </m:r>
                </m:e>
                <m:sub>
                  <m:r>
                    <w:rPr>
                      <w:rFonts w:ascii="Cambria Math" w:hAnsi="Cambria Math" w:cs="Times New Roman"/>
                      <w:sz w:val="24"/>
                    </w:rPr>
                    <m:t>aFRR</m:t>
                  </m:r>
                </m:sub>
              </m:sSub>
              <m:r>
                <w:rPr>
                  <w:rFonts w:ascii="Cambria Math" w:hAnsi="Cambria Math" w:cs="Times New Roman"/>
                  <w:sz w:val="24"/>
                </w:rPr>
                <m:t>=</m:t>
              </m:r>
              <m:sSub>
                <m:sSubPr>
                  <m:ctrlPr>
                    <w:rPr>
                      <w:rFonts w:ascii="Cambria Math" w:hAnsi="Cambria Math" w:cs="Times New Roman"/>
                      <w:i/>
                      <w:sz w:val="24"/>
                      <w:lang w:val="en-GB"/>
                    </w:rPr>
                  </m:ctrlPr>
                </m:sSubPr>
                <m:e>
                  <m:r>
                    <w:rPr>
                      <w:rFonts w:ascii="Cambria Math" w:hAnsi="Cambria Math" w:cs="Times New Roman"/>
                      <w:sz w:val="24"/>
                    </w:rPr>
                    <m:t>h</m:t>
                  </m:r>
                </m:e>
                <m:sub>
                  <m:r>
                    <w:rPr>
                      <w:rFonts w:ascii="Cambria Math" w:hAnsi="Cambria Math" w:cs="Times New Roman"/>
                      <w:sz w:val="24"/>
                    </w:rPr>
                    <m:t>MTU</m:t>
                  </m:r>
                </m:sub>
              </m:sSub>
              <m:r>
                <w:rPr>
                  <w:rFonts w:ascii="Cambria Math" w:hAnsi="Cambria Math" w:cs="Times New Roman"/>
                  <w:sz w:val="24"/>
                </w:rPr>
                <m:t>*P</m:t>
              </m:r>
            </m:oMath>
            <w:r>
              <w:rPr>
                <w:rFonts w:ascii="Times New Roman" w:eastAsiaTheme="minorEastAsia" w:hAnsi="Times New Roman" w:cs="Times New Roman"/>
                <w:sz w:val="24"/>
              </w:rPr>
              <w:t>,</w:t>
            </w:r>
          </w:p>
          <w:p w14:paraId="24AF2236" w14:textId="77777777" w:rsidR="00422A2A" w:rsidRDefault="00422A2A" w:rsidP="005A43AF">
            <w:pPr>
              <w:pStyle w:val="Paragraphe"/>
              <w:spacing w:before="0" w:after="0"/>
              <w:ind w:left="457" w:hanging="457"/>
              <w:rPr>
                <w:rFonts w:ascii="Times New Roman" w:hAnsi="Times New Roman" w:cs="Times New Roman"/>
                <w:sz w:val="24"/>
                <w:lang w:val="en-GB"/>
              </w:rPr>
            </w:pPr>
            <w:proofErr w:type="gramStart"/>
            <w:r>
              <w:rPr>
                <w:rFonts w:ascii="Times New Roman" w:hAnsi="Times New Roman" w:cs="Times New Roman"/>
                <w:sz w:val="24"/>
                <w:lang w:val="en-GB"/>
              </w:rPr>
              <w:t>Where</w:t>
            </w:r>
            <w:proofErr w:type="gramEnd"/>
            <w:r>
              <w:rPr>
                <w:rFonts w:ascii="Times New Roman" w:hAnsi="Times New Roman" w:cs="Times New Roman"/>
                <w:sz w:val="24"/>
                <w:lang w:val="en-GB"/>
              </w:rPr>
              <w:t>,</w:t>
            </w:r>
          </w:p>
          <w:p w14:paraId="6EBD2F7D" w14:textId="0F66C7FB" w:rsidR="00422A2A" w:rsidRDefault="00422A2A" w:rsidP="005A43AF">
            <w:pPr>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E</m:t>
                  </m:r>
                </m:e>
                <m:sub>
                  <m:r>
                    <w:rPr>
                      <w:rFonts w:ascii="Cambria Math" w:hAnsi="Cambria Math" w:cs="Times New Roman"/>
                      <w:sz w:val="24"/>
                    </w:rPr>
                    <m:t>aFRR</m:t>
                  </m:r>
                </m:sub>
              </m:sSub>
            </m:oMath>
            <w:r w:rsidRPr="00941DA8">
              <w:rPr>
                <w:rFonts w:ascii="Times New Roman" w:hAnsi="Times New Roman" w:cs="Times New Roman"/>
                <w:sz w:val="24"/>
              </w:rPr>
              <w:t xml:space="preserve"> – </w:t>
            </w:r>
            <w:proofErr w:type="spellStart"/>
            <w:r w:rsidRPr="00245705">
              <w:rPr>
                <w:rFonts w:ascii="Times New Roman" w:hAnsi="Times New Roman" w:cs="Times New Roman"/>
                <w:sz w:val="24"/>
              </w:rPr>
              <w:t>The</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amount</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of</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aFRR</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balancing</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energy</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bought</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or</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sold</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by</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the</w:t>
            </w:r>
            <w:proofErr w:type="spellEnd"/>
            <w:r w:rsidRPr="00245705">
              <w:rPr>
                <w:rFonts w:ascii="Times New Roman" w:hAnsi="Times New Roman" w:cs="Times New Roman"/>
                <w:sz w:val="24"/>
              </w:rPr>
              <w:t xml:space="preserve"> TSO </w:t>
            </w:r>
            <w:proofErr w:type="spellStart"/>
            <w:r w:rsidRPr="00245705">
              <w:rPr>
                <w:rFonts w:ascii="Times New Roman" w:hAnsi="Times New Roman" w:cs="Times New Roman"/>
                <w:sz w:val="24"/>
              </w:rPr>
              <w:t>in</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the</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control</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zone</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in</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the</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corresponding</w:t>
            </w:r>
            <w:proofErr w:type="spellEnd"/>
            <w:r w:rsidRPr="00245705">
              <w:rPr>
                <w:rFonts w:ascii="Times New Roman" w:hAnsi="Times New Roman" w:cs="Times New Roman"/>
                <w:sz w:val="24"/>
              </w:rPr>
              <w:t xml:space="preserve"> </w:t>
            </w:r>
            <w:proofErr w:type="spellStart"/>
            <w:r w:rsidRPr="00245705">
              <w:rPr>
                <w:rFonts w:ascii="Times New Roman" w:hAnsi="Times New Roman" w:cs="Times New Roman"/>
                <w:sz w:val="24"/>
              </w:rPr>
              <w:t>aFRR</w:t>
            </w:r>
            <w:proofErr w:type="spellEnd"/>
            <w:r w:rsidRPr="00245705">
              <w:rPr>
                <w:rFonts w:ascii="Times New Roman" w:hAnsi="Times New Roman" w:cs="Times New Roman"/>
                <w:sz w:val="24"/>
              </w:rPr>
              <w:t xml:space="preserve"> MTU (</w:t>
            </w:r>
            <w:proofErr w:type="spellStart"/>
            <w:r w:rsidRPr="00245705">
              <w:rPr>
                <w:rFonts w:ascii="Times New Roman" w:hAnsi="Times New Roman" w:cs="Times New Roman"/>
                <w:sz w:val="24"/>
              </w:rPr>
              <w:t>MWh</w:t>
            </w:r>
            <w:proofErr w:type="spellEnd"/>
            <w:r w:rsidRPr="00245705">
              <w:rPr>
                <w:rFonts w:ascii="Times New Roman" w:hAnsi="Times New Roman" w:cs="Times New Roman"/>
                <w:sz w:val="24"/>
              </w:rPr>
              <w:t>),</w:t>
            </w:r>
          </w:p>
          <w:p w14:paraId="096D717E" w14:textId="5F6E2705" w:rsidR="00422A2A" w:rsidRDefault="00422A2A" w:rsidP="005A43AF">
            <w:pPr>
              <w:pStyle w:val="Paragraphe"/>
              <w:spacing w:before="0" w:after="0"/>
              <w:ind w:left="457" w:hanging="457"/>
              <w:rPr>
                <w:rFonts w:ascii="Times New Roman" w:hAnsi="Times New Roman" w:cs="Times New Roman"/>
                <w:sz w:val="24"/>
                <w:lang w:val="en-GB"/>
              </w:rPr>
            </w:pPr>
            <m:oMath>
              <m:sSub>
                <m:sSubPr>
                  <m:ctrlPr>
                    <w:rPr>
                      <w:rFonts w:ascii="Cambria Math" w:hAnsi="Cambria Math" w:cs="Times New Roman"/>
                      <w:i/>
                      <w:sz w:val="24"/>
                      <w:lang w:val="en-GB"/>
                    </w:rPr>
                  </m:ctrlPr>
                </m:sSubPr>
                <m:e>
                  <m:r>
                    <w:rPr>
                      <w:rFonts w:ascii="Cambria Math" w:hAnsi="Cambria Math" w:cs="Times New Roman"/>
                      <w:sz w:val="24"/>
                      <w:lang w:val="en-GB"/>
                    </w:rPr>
                    <m:t>h</m:t>
                  </m:r>
                </m:e>
                <m:sub>
                  <m:r>
                    <w:rPr>
                      <w:rFonts w:ascii="Cambria Math" w:hAnsi="Cambria Math" w:cs="Times New Roman"/>
                      <w:sz w:val="24"/>
                      <w:lang w:val="en-GB"/>
                    </w:rPr>
                    <m:t>MTU</m:t>
                  </m:r>
                </m:sub>
              </m:sSub>
            </m:oMath>
            <w:r w:rsidRPr="00941DA8">
              <w:rPr>
                <w:rFonts w:ascii="Times New Roman" w:hAnsi="Times New Roman" w:cs="Times New Roman"/>
                <w:sz w:val="24"/>
                <w:lang w:val="en-GB"/>
              </w:rPr>
              <w:t xml:space="preserve"> </w:t>
            </w:r>
            <w:r w:rsidRPr="00941DA8">
              <w:rPr>
                <w:rFonts w:ascii="Times New Roman" w:hAnsi="Times New Roman" w:cs="Times New Roman"/>
                <w:sz w:val="24"/>
              </w:rPr>
              <w:t xml:space="preserve">– </w:t>
            </w:r>
            <w:r>
              <w:rPr>
                <w:rFonts w:ascii="Times New Roman" w:hAnsi="Times New Roman" w:cs="Times New Roman"/>
                <w:sz w:val="24"/>
              </w:rPr>
              <w:t xml:space="preserve">respective </w:t>
            </w:r>
            <w:proofErr w:type="spellStart"/>
            <w:r>
              <w:rPr>
                <w:rFonts w:ascii="Times New Roman" w:hAnsi="Times New Roman" w:cs="Times New Roman"/>
                <w:sz w:val="24"/>
              </w:rPr>
              <w:t>a</w:t>
            </w:r>
            <w:r w:rsidRPr="00941DA8">
              <w:rPr>
                <w:rFonts w:ascii="Times New Roman" w:hAnsi="Times New Roman" w:cs="Times New Roman"/>
                <w:sz w:val="24"/>
              </w:rPr>
              <w:t>FRR</w:t>
            </w:r>
            <w:proofErr w:type="spellEnd"/>
            <w:r w:rsidRPr="00941DA8">
              <w:rPr>
                <w:rFonts w:ascii="Times New Roman" w:hAnsi="Times New Roman" w:cs="Times New Roman"/>
                <w:sz w:val="24"/>
              </w:rPr>
              <w:t xml:space="preserve"> MTU (h)</w:t>
            </w:r>
            <w:r>
              <w:rPr>
                <w:rFonts w:ascii="Times New Roman" w:hAnsi="Times New Roman" w:cs="Times New Roman"/>
                <w:sz w:val="24"/>
              </w:rPr>
              <w:t>.</w:t>
            </w:r>
          </w:p>
        </w:tc>
        <w:tc>
          <w:tcPr>
            <w:tcW w:w="3760" w:type="dxa"/>
          </w:tcPr>
          <w:p w14:paraId="1AB19E9F" w14:textId="77777777"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PSO kontroles zonā pirktās vai pārdotās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regulēšanas enerģijas apjoms tiek aprēķināts kā aktivizētās solījuma jaudas un aktivizācijas perioda reizinājums attiecīgā </w:t>
            </w:r>
            <w:proofErr w:type="spellStart"/>
            <w:r w:rsidRPr="0030041C">
              <w:rPr>
                <w:rFonts w:ascii="Times New Roman" w:hAnsi="Times New Roman" w:cs="Times New Roman"/>
                <w:sz w:val="24"/>
                <w:szCs w:val="24"/>
              </w:rPr>
              <w:t>aFRR</w:t>
            </w:r>
            <w:proofErr w:type="spellEnd"/>
            <w:r w:rsidRPr="0030041C">
              <w:rPr>
                <w:rFonts w:ascii="Times New Roman" w:hAnsi="Times New Roman" w:cs="Times New Roman"/>
                <w:sz w:val="24"/>
                <w:szCs w:val="24"/>
              </w:rPr>
              <w:t xml:space="preserve"> MTU ietvaros  šādi:</w:t>
            </w:r>
          </w:p>
          <w:p w14:paraId="45F9329E" w14:textId="4453A2E0" w:rsidR="00422A2A" w:rsidRDefault="00422A2A" w:rsidP="005A43AF">
            <w:pPr>
              <w:jc w:val="both"/>
              <w:rPr>
                <w:rFonts w:ascii="Times New Roman" w:eastAsiaTheme="minorEastAsia" w:hAnsi="Times New Roman" w:cs="Times New Roman"/>
                <w:sz w:val="24"/>
              </w:rPr>
            </w:pPr>
            <m:oMath>
              <m:sSub>
                <m:sSubPr>
                  <m:ctrlPr>
                    <w:rPr>
                      <w:rFonts w:ascii="Cambria Math" w:hAnsi="Cambria Math" w:cs="Times New Roman"/>
                      <w:i/>
                      <w:sz w:val="24"/>
                      <w:lang w:val="en-GB"/>
                    </w:rPr>
                  </m:ctrlPr>
                </m:sSubPr>
                <m:e>
                  <m:r>
                    <w:rPr>
                      <w:rFonts w:ascii="Cambria Math" w:hAnsi="Cambria Math" w:cs="Times New Roman"/>
                      <w:sz w:val="24"/>
                    </w:rPr>
                    <m:t>E</m:t>
                  </m:r>
                </m:e>
                <m:sub>
                  <m:r>
                    <w:rPr>
                      <w:rFonts w:ascii="Cambria Math" w:hAnsi="Cambria Math" w:cs="Times New Roman"/>
                      <w:sz w:val="24"/>
                    </w:rPr>
                    <m:t>aFRR</m:t>
                  </m:r>
                </m:sub>
              </m:sSub>
              <m:r>
                <w:rPr>
                  <w:rFonts w:ascii="Cambria Math" w:hAnsi="Cambria Math" w:cs="Times New Roman"/>
                  <w:sz w:val="24"/>
                </w:rPr>
                <m:t>=</m:t>
              </m:r>
              <m:sSub>
                <m:sSubPr>
                  <m:ctrlPr>
                    <w:rPr>
                      <w:rFonts w:ascii="Cambria Math" w:hAnsi="Cambria Math" w:cs="Times New Roman"/>
                      <w:i/>
                      <w:sz w:val="24"/>
                      <w:lang w:val="en-GB"/>
                    </w:rPr>
                  </m:ctrlPr>
                </m:sSubPr>
                <m:e>
                  <m:r>
                    <w:rPr>
                      <w:rFonts w:ascii="Cambria Math" w:hAnsi="Cambria Math" w:cs="Times New Roman"/>
                      <w:sz w:val="24"/>
                    </w:rPr>
                    <m:t>h</m:t>
                  </m:r>
                </m:e>
                <m:sub>
                  <m:r>
                    <w:rPr>
                      <w:rFonts w:ascii="Cambria Math" w:hAnsi="Cambria Math" w:cs="Times New Roman"/>
                      <w:sz w:val="24"/>
                    </w:rPr>
                    <m:t>MTU</m:t>
                  </m:r>
                </m:sub>
              </m:sSub>
              <m:r>
                <w:rPr>
                  <w:rFonts w:ascii="Cambria Math" w:hAnsi="Cambria Math" w:cs="Times New Roman"/>
                  <w:sz w:val="24"/>
                </w:rPr>
                <m:t>*P</m:t>
              </m:r>
            </m:oMath>
            <w:r>
              <w:rPr>
                <w:rFonts w:ascii="Times New Roman" w:eastAsiaTheme="minorEastAsia" w:hAnsi="Times New Roman" w:cs="Times New Roman"/>
                <w:sz w:val="24"/>
              </w:rPr>
              <w:t>,</w:t>
            </w:r>
          </w:p>
          <w:p w14:paraId="154AB976" w14:textId="77777777" w:rsidR="00422A2A" w:rsidRDefault="00422A2A" w:rsidP="005A43AF">
            <w:pPr>
              <w:jc w:val="both"/>
              <w:rPr>
                <w:rFonts w:ascii="Times New Roman" w:eastAsiaTheme="minorEastAsia" w:hAnsi="Times New Roman" w:cs="Times New Roman"/>
                <w:sz w:val="24"/>
              </w:rPr>
            </w:pPr>
          </w:p>
          <w:p w14:paraId="303D5C16" w14:textId="77777777" w:rsidR="00422A2A" w:rsidRDefault="00422A2A" w:rsidP="005A43AF">
            <w:pPr>
              <w:jc w:val="both"/>
              <w:rPr>
                <w:rFonts w:ascii="Times New Roman" w:eastAsiaTheme="minorEastAsia" w:hAnsi="Times New Roman" w:cs="Times New Roman"/>
                <w:sz w:val="24"/>
              </w:rPr>
            </w:pPr>
          </w:p>
          <w:p w14:paraId="178F75D7" w14:textId="77777777" w:rsidR="00422A2A" w:rsidRDefault="00422A2A" w:rsidP="005A43AF">
            <w:pPr>
              <w:jc w:val="both"/>
              <w:rPr>
                <w:rFonts w:ascii="Times New Roman" w:eastAsiaTheme="minorEastAsia" w:hAnsi="Times New Roman" w:cs="Times New Roman"/>
                <w:sz w:val="24"/>
              </w:rPr>
            </w:pPr>
          </w:p>
          <w:p w14:paraId="1F9FAA9E" w14:textId="77777777" w:rsidR="00422A2A" w:rsidRDefault="00422A2A" w:rsidP="005A43AF">
            <w:pPr>
              <w:jc w:val="both"/>
              <w:rPr>
                <w:rFonts w:ascii="Times New Roman" w:eastAsiaTheme="minorEastAsia" w:hAnsi="Times New Roman" w:cs="Times New Roman"/>
                <w:sz w:val="24"/>
              </w:rPr>
            </w:pPr>
          </w:p>
          <w:p w14:paraId="0777AB9A" w14:textId="3829333E" w:rsidR="00422A2A" w:rsidRPr="00385155" w:rsidRDefault="00422A2A" w:rsidP="005A43AF">
            <w:pPr>
              <w:jc w:val="both"/>
              <w:rPr>
                <w:rFonts w:ascii="Times New Roman" w:eastAsiaTheme="minorEastAsia" w:hAnsi="Times New Roman" w:cs="Times New Roman"/>
                <w:sz w:val="24"/>
              </w:rPr>
            </w:pPr>
            <w:r>
              <w:rPr>
                <w:rFonts w:ascii="Times New Roman" w:eastAsiaTheme="minorEastAsia" w:hAnsi="Times New Roman" w:cs="Times New Roman"/>
                <w:sz w:val="24"/>
              </w:rPr>
              <w:t>kur</w:t>
            </w:r>
          </w:p>
          <w:p w14:paraId="40269040" w14:textId="77777777" w:rsidR="00422A2A" w:rsidRDefault="00422A2A" w:rsidP="005A43AF">
            <w:pPr>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E</m:t>
                  </m:r>
                </m:e>
                <m:sub>
                  <m:r>
                    <w:rPr>
                      <w:rFonts w:ascii="Cambria Math" w:hAnsi="Cambria Math" w:cs="Times New Roman"/>
                      <w:sz w:val="24"/>
                    </w:rPr>
                    <m:t>aFRR</m:t>
                  </m:r>
                </m:sub>
              </m:sSub>
            </m:oMath>
            <w:r w:rsidRPr="00941DA8">
              <w:rPr>
                <w:rFonts w:ascii="Times New Roman" w:hAnsi="Times New Roman" w:cs="Times New Roman"/>
                <w:sz w:val="24"/>
              </w:rPr>
              <w:t xml:space="preserve"> – PSO pirktās vai pārdotās </w:t>
            </w:r>
            <w:proofErr w:type="spellStart"/>
            <w:r>
              <w:rPr>
                <w:rFonts w:ascii="Times New Roman" w:hAnsi="Times New Roman" w:cs="Times New Roman"/>
                <w:sz w:val="24"/>
              </w:rPr>
              <w:t>a</w:t>
            </w:r>
            <w:r w:rsidRPr="00941DA8">
              <w:rPr>
                <w:rFonts w:ascii="Times New Roman" w:hAnsi="Times New Roman" w:cs="Times New Roman"/>
                <w:sz w:val="24"/>
              </w:rPr>
              <w:t>FRR</w:t>
            </w:r>
            <w:proofErr w:type="spellEnd"/>
            <w:r w:rsidRPr="00941DA8">
              <w:rPr>
                <w:rFonts w:ascii="Times New Roman" w:hAnsi="Times New Roman" w:cs="Times New Roman"/>
                <w:sz w:val="24"/>
              </w:rPr>
              <w:t xml:space="preserve"> regulēšanas enerģijas apjoms kontroles zonā attiecīgajā </w:t>
            </w:r>
            <w:proofErr w:type="spellStart"/>
            <w:r>
              <w:rPr>
                <w:rFonts w:ascii="Times New Roman" w:hAnsi="Times New Roman" w:cs="Times New Roman"/>
                <w:sz w:val="24"/>
              </w:rPr>
              <w:t>a</w:t>
            </w:r>
            <w:r w:rsidRPr="00941DA8">
              <w:rPr>
                <w:rFonts w:ascii="Times New Roman" w:hAnsi="Times New Roman" w:cs="Times New Roman"/>
                <w:sz w:val="24"/>
              </w:rPr>
              <w:t>FRR</w:t>
            </w:r>
            <w:proofErr w:type="spellEnd"/>
            <w:r w:rsidRPr="00941DA8">
              <w:rPr>
                <w:rFonts w:ascii="Times New Roman" w:hAnsi="Times New Roman" w:cs="Times New Roman"/>
                <w:sz w:val="24"/>
              </w:rPr>
              <w:t xml:space="preserve"> MTU (</w:t>
            </w:r>
            <w:proofErr w:type="spellStart"/>
            <w:r w:rsidRPr="00941DA8">
              <w:rPr>
                <w:rFonts w:ascii="Times New Roman" w:hAnsi="Times New Roman" w:cs="Times New Roman"/>
                <w:sz w:val="24"/>
              </w:rPr>
              <w:t>MWh</w:t>
            </w:r>
            <w:proofErr w:type="spellEnd"/>
            <w:r>
              <w:rPr>
                <w:rFonts w:ascii="Times New Roman" w:hAnsi="Times New Roman" w:cs="Times New Roman"/>
                <w:sz w:val="24"/>
              </w:rPr>
              <w:t>),</w:t>
            </w:r>
          </w:p>
          <w:p w14:paraId="46A7AE8A" w14:textId="1B2C1BC7" w:rsidR="00422A2A" w:rsidRPr="0030041C" w:rsidRDefault="00422A2A" w:rsidP="005A43AF">
            <w:pPr>
              <w:jc w:val="both"/>
              <w:rPr>
                <w:rFonts w:ascii="Times New Roman" w:hAnsi="Times New Roman" w:cs="Times New Roman"/>
                <w:sz w:val="24"/>
                <w:szCs w:val="24"/>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h</m:t>
                  </m:r>
                </m:e>
                <m:sub>
                  <m:r>
                    <w:rPr>
                      <w:rFonts w:ascii="Cambria Math" w:hAnsi="Cambria Math" w:cs="Times New Roman"/>
                      <w:sz w:val="24"/>
                      <w:szCs w:val="24"/>
                      <w:lang w:val="en-GB"/>
                    </w:rPr>
                    <m:t>MTU</m:t>
                  </m:r>
                </m:sub>
              </m:sSub>
            </m:oMath>
            <w:r w:rsidRPr="00941DA8">
              <w:rPr>
                <w:rFonts w:ascii="Times New Roman" w:hAnsi="Times New Roman" w:cs="Times New Roman"/>
                <w:sz w:val="24"/>
                <w:szCs w:val="24"/>
                <w:lang w:val="en-GB"/>
              </w:rPr>
              <w:t xml:space="preserve"> </w:t>
            </w:r>
            <w:r w:rsidRPr="00941DA8">
              <w:rPr>
                <w:rFonts w:ascii="Times New Roman" w:hAnsi="Times New Roman" w:cs="Times New Roman"/>
                <w:sz w:val="24"/>
                <w:szCs w:val="24"/>
              </w:rPr>
              <w:t xml:space="preserve">– attiecīgais </w:t>
            </w:r>
            <w:proofErr w:type="spellStart"/>
            <w:r>
              <w:rPr>
                <w:rFonts w:ascii="Times New Roman" w:hAnsi="Times New Roman" w:cs="Times New Roman"/>
                <w:sz w:val="24"/>
                <w:szCs w:val="24"/>
              </w:rPr>
              <w:t>a</w:t>
            </w:r>
            <w:r w:rsidRPr="00941DA8">
              <w:rPr>
                <w:rFonts w:ascii="Times New Roman" w:hAnsi="Times New Roman" w:cs="Times New Roman"/>
                <w:sz w:val="24"/>
                <w:szCs w:val="24"/>
              </w:rPr>
              <w:t>FRR</w:t>
            </w:r>
            <w:proofErr w:type="spellEnd"/>
            <w:r w:rsidRPr="00941DA8">
              <w:rPr>
                <w:rFonts w:ascii="Times New Roman" w:hAnsi="Times New Roman" w:cs="Times New Roman"/>
                <w:sz w:val="24"/>
                <w:szCs w:val="24"/>
              </w:rPr>
              <w:t xml:space="preserve"> MTU (h)</w:t>
            </w:r>
            <w:r>
              <w:rPr>
                <w:rFonts w:ascii="Times New Roman" w:hAnsi="Times New Roman" w:cs="Times New Roman"/>
                <w:sz w:val="24"/>
                <w:szCs w:val="24"/>
              </w:rPr>
              <w:t>.</w:t>
            </w:r>
          </w:p>
        </w:tc>
      </w:tr>
      <w:tr w:rsidR="00F527BD" w14:paraId="503216AB" w14:textId="77777777" w:rsidTr="00F527BD">
        <w:tc>
          <w:tcPr>
            <w:tcW w:w="1276" w:type="dxa"/>
          </w:tcPr>
          <w:p w14:paraId="39ABE9FC" w14:textId="77777777" w:rsidR="00422A2A" w:rsidRDefault="00422A2A" w:rsidP="00945F64">
            <w:pPr>
              <w:pStyle w:val="Paragraphe"/>
              <w:numPr>
                <w:ilvl w:val="2"/>
                <w:numId w:val="58"/>
              </w:numPr>
              <w:spacing w:before="0" w:after="0"/>
              <w:jc w:val="center"/>
              <w:rPr>
                <w:rFonts w:ascii="Times New Roman" w:hAnsi="Times New Roman" w:cs="Times New Roman"/>
                <w:sz w:val="24"/>
                <w:lang w:val="en-GB"/>
              </w:rPr>
            </w:pPr>
          </w:p>
          <w:p w14:paraId="5692BD11" w14:textId="77777777" w:rsidR="00945F64" w:rsidRPr="00945F64" w:rsidRDefault="00945F64" w:rsidP="00945F64">
            <w:pPr>
              <w:rPr>
                <w:lang w:val="en-GB" w:eastAsia="fr-FR"/>
              </w:rPr>
            </w:pPr>
          </w:p>
        </w:tc>
        <w:tc>
          <w:tcPr>
            <w:tcW w:w="3890" w:type="dxa"/>
          </w:tcPr>
          <w:p w14:paraId="1285F9C2" w14:textId="1E023AB4" w:rsidR="00422A2A" w:rsidRPr="00B206C8" w:rsidRDefault="00422A2A" w:rsidP="00945F64">
            <w:pPr>
              <w:pStyle w:val="Paragraphe"/>
              <w:spacing w:before="0" w:after="0"/>
              <w:rPr>
                <w:rFonts w:ascii="Times New Roman" w:hAnsi="Times New Roman" w:cs="Times New Roman"/>
                <w:sz w:val="24"/>
                <w:lang w:val="en-GB"/>
              </w:rPr>
            </w:pPr>
            <w:r w:rsidRPr="00941DA8">
              <w:rPr>
                <w:rFonts w:ascii="Times New Roman" w:hAnsi="Times New Roman" w:cs="Times New Roman"/>
                <w:sz w:val="24"/>
                <w:lang w:val="en-GB"/>
              </w:rPr>
              <w:t xml:space="preserve">Payment for </w:t>
            </w:r>
            <w:proofErr w:type="spellStart"/>
            <w:r>
              <w:rPr>
                <w:rFonts w:ascii="Times New Roman" w:hAnsi="Times New Roman" w:cs="Times New Roman"/>
                <w:sz w:val="24"/>
                <w:lang w:val="en-GB"/>
              </w:rPr>
              <w:t>a</w:t>
            </w:r>
            <w:r w:rsidRPr="00941DA8">
              <w:rPr>
                <w:rFonts w:ascii="Times New Roman" w:hAnsi="Times New Roman" w:cs="Times New Roman"/>
                <w:sz w:val="24"/>
                <w:lang w:val="en-GB"/>
              </w:rPr>
              <w:t>FRR</w:t>
            </w:r>
            <w:proofErr w:type="spellEnd"/>
            <w:r w:rsidRPr="00941DA8">
              <w:rPr>
                <w:rFonts w:ascii="Times New Roman" w:hAnsi="Times New Roman" w:cs="Times New Roman"/>
                <w:sz w:val="24"/>
                <w:lang w:val="en-GB"/>
              </w:rPr>
              <w:t xml:space="preserve"> balancing energy, which are </w:t>
            </w:r>
            <w:r w:rsidRPr="00B206C8">
              <w:rPr>
                <w:rFonts w:ascii="Times New Roman" w:hAnsi="Times New Roman" w:cs="Times New Roman"/>
                <w:sz w:val="24"/>
                <w:lang w:val="en-GB"/>
              </w:rPr>
              <w:t xml:space="preserve">purchased or sold by the TSO in the control area within the MTU </w:t>
            </w:r>
            <w:proofErr w:type="spellStart"/>
            <w:r>
              <w:rPr>
                <w:rFonts w:ascii="Times New Roman" w:hAnsi="Times New Roman" w:cs="Times New Roman"/>
                <w:sz w:val="24"/>
                <w:lang w:val="en-GB"/>
              </w:rPr>
              <w:t>aFRR</w:t>
            </w:r>
            <w:proofErr w:type="spellEnd"/>
            <w:r w:rsidRPr="00B206C8">
              <w:rPr>
                <w:rFonts w:ascii="Times New Roman" w:hAnsi="Times New Roman" w:cs="Times New Roman"/>
                <w:sz w:val="24"/>
                <w:lang w:val="en-GB"/>
              </w:rPr>
              <w:t>, is calculated as the</w:t>
            </w:r>
            <w:r>
              <w:rPr>
                <w:rFonts w:ascii="Times New Roman" w:hAnsi="Times New Roman" w:cs="Times New Roman"/>
                <w:sz w:val="24"/>
                <w:lang w:val="en-GB"/>
              </w:rPr>
              <w:t xml:space="preserve"> multiplication of the </w:t>
            </w:r>
            <w:proofErr w:type="spellStart"/>
            <w:r>
              <w:rPr>
                <w:rFonts w:ascii="Times New Roman" w:hAnsi="Times New Roman" w:cs="Times New Roman"/>
                <w:sz w:val="24"/>
                <w:lang w:val="en-GB"/>
              </w:rPr>
              <w:t>aFRR</w:t>
            </w:r>
            <w:proofErr w:type="spellEnd"/>
            <w:r>
              <w:rPr>
                <w:rFonts w:ascii="Times New Roman" w:hAnsi="Times New Roman" w:cs="Times New Roman"/>
                <w:sz w:val="24"/>
                <w:lang w:val="en-GB"/>
              </w:rPr>
              <w:t xml:space="preserve"> balancing energy and </w:t>
            </w:r>
            <w:r w:rsidRPr="00B206C8">
              <w:rPr>
                <w:rFonts w:ascii="Times New Roman" w:hAnsi="Times New Roman" w:cs="Times New Roman"/>
                <w:sz w:val="24"/>
                <w:lang w:val="en-GB"/>
              </w:rPr>
              <w:t>CBMP</w:t>
            </w:r>
            <w:r>
              <w:rPr>
                <w:rFonts w:ascii="Times New Roman" w:hAnsi="Times New Roman" w:cs="Times New Roman"/>
                <w:sz w:val="24"/>
                <w:lang w:val="en-GB"/>
              </w:rPr>
              <w:t xml:space="preserve"> as follows:</w:t>
            </w:r>
            <w:r w:rsidRPr="00B206C8">
              <w:rPr>
                <w:rFonts w:ascii="Times New Roman" w:hAnsi="Times New Roman" w:cs="Times New Roman"/>
                <w:sz w:val="24"/>
                <w:lang w:val="en-GB"/>
              </w:rPr>
              <w:t xml:space="preserve"> </w:t>
            </w:r>
          </w:p>
          <w:p w14:paraId="592DF4DD" w14:textId="77777777" w:rsidR="00422A2A" w:rsidRPr="0030041C" w:rsidRDefault="00422A2A" w:rsidP="005A43AF">
            <w:pPr>
              <w:pStyle w:val="Paragraphe"/>
              <w:spacing w:before="0" w:after="0"/>
              <w:ind w:left="1060"/>
              <w:rPr>
                <w:rFonts w:ascii="Times New Roman" w:hAnsi="Times New Roman" w:cs="Times New Roman"/>
                <w:sz w:val="24"/>
                <w:lang w:val="en-GB"/>
              </w:rPr>
            </w:pPr>
            <m:oMathPara>
              <m:oMath>
                <m:sSub>
                  <m:sSubPr>
                    <m:ctrlPr>
                      <w:rPr>
                        <w:rFonts w:ascii="Cambria Math" w:hAnsi="Cambria Math" w:cs="Times New Roman"/>
                        <w:i/>
                        <w:sz w:val="24"/>
                        <w:lang w:val="en-GB"/>
                      </w:rPr>
                    </m:ctrlPr>
                  </m:sSubPr>
                  <m:e>
                    <m:r>
                      <w:rPr>
                        <w:rFonts w:ascii="Cambria Math" w:hAnsi="Cambria Math" w:cs="Times New Roman"/>
                        <w:sz w:val="24"/>
                        <w:lang w:val="lv-LV"/>
                      </w:rPr>
                      <m:t>M</m:t>
                    </m:r>
                  </m:e>
                  <m:sub>
                    <m:r>
                      <w:rPr>
                        <w:rFonts w:ascii="Cambria Math" w:hAnsi="Cambria Math" w:cs="Times New Roman"/>
                        <w:sz w:val="24"/>
                        <w:lang w:val="lv-LV"/>
                      </w:rPr>
                      <m:t>aFRR</m:t>
                    </m:r>
                  </m:sub>
                </m:sSub>
                <m:r>
                  <w:rPr>
                    <w:rFonts w:ascii="Cambria Math" w:hAnsi="Cambria Math" w:cs="Times New Roman"/>
                    <w:sz w:val="24"/>
                    <w:lang w:val="lv-LV"/>
                  </w:rPr>
                  <m:t>=</m:t>
                </m:r>
                <m:sSub>
                  <m:sSubPr>
                    <m:ctrlPr>
                      <w:rPr>
                        <w:rFonts w:ascii="Cambria Math" w:hAnsi="Cambria Math" w:cs="Times New Roman"/>
                        <w:i/>
                        <w:sz w:val="24"/>
                        <w:lang w:val="en-GB"/>
                      </w:rPr>
                    </m:ctrlPr>
                  </m:sSubPr>
                  <m:e>
                    <m:r>
                      <w:rPr>
                        <w:rFonts w:ascii="Cambria Math" w:hAnsi="Cambria Math" w:cs="Times New Roman"/>
                        <w:sz w:val="24"/>
                        <w:lang w:val="lv-LV"/>
                      </w:rPr>
                      <m:t>E</m:t>
                    </m:r>
                  </m:e>
                  <m:sub>
                    <m:r>
                      <w:rPr>
                        <w:rFonts w:ascii="Cambria Math" w:hAnsi="Cambria Math" w:cs="Times New Roman"/>
                        <w:sz w:val="24"/>
                        <w:lang w:val="lv-LV"/>
                      </w:rPr>
                      <m:t>aFRR</m:t>
                    </m:r>
                  </m:sub>
                </m:sSub>
                <m:r>
                  <w:rPr>
                    <w:rFonts w:ascii="Cambria Math" w:hAnsi="Cambria Math" w:cs="Times New Roman"/>
                    <w:sz w:val="24"/>
                    <w:lang w:val="lv-LV"/>
                  </w:rPr>
                  <m:t>*</m:t>
                </m:r>
                <m:sSub>
                  <m:sSubPr>
                    <m:ctrlPr>
                      <w:rPr>
                        <w:rFonts w:ascii="Cambria Math" w:hAnsi="Cambria Math" w:cs="Times New Roman"/>
                        <w:i/>
                        <w:sz w:val="24"/>
                        <w:lang w:val="en-GB"/>
                      </w:rPr>
                    </m:ctrlPr>
                  </m:sSubPr>
                  <m:e>
                    <m:r>
                      <w:rPr>
                        <w:rFonts w:ascii="Cambria Math" w:hAnsi="Cambria Math" w:cs="Times New Roman"/>
                        <w:sz w:val="24"/>
                        <w:lang w:val="lv-LV"/>
                      </w:rPr>
                      <m:t>MP</m:t>
                    </m:r>
                  </m:e>
                  <m:sub>
                    <m:r>
                      <w:rPr>
                        <w:rFonts w:ascii="Cambria Math" w:hAnsi="Cambria Math" w:cs="Times New Roman"/>
                        <w:sz w:val="24"/>
                        <w:lang w:val="lv-LV"/>
                      </w:rPr>
                      <m:t>aFRR</m:t>
                    </m:r>
                  </m:sub>
                </m:sSub>
                <m:r>
                  <w:rPr>
                    <w:rFonts w:ascii="Cambria Math" w:hAnsi="Cambria Math" w:cs="Times New Roman"/>
                    <w:sz w:val="24"/>
                    <w:lang w:val="en-GB"/>
                  </w:rPr>
                  <m:t>,</m:t>
                </m:r>
              </m:oMath>
            </m:oMathPara>
          </w:p>
          <w:p w14:paraId="7DA57856" w14:textId="23CEB555" w:rsidR="00422A2A" w:rsidRDefault="00422A2A" w:rsidP="005A43AF">
            <w:pPr>
              <w:pStyle w:val="Paragraphe"/>
              <w:spacing w:before="0" w:after="0"/>
              <w:rPr>
                <w:rFonts w:ascii="Times New Roman" w:hAnsi="Times New Roman" w:cs="Times New Roman"/>
                <w:sz w:val="24"/>
                <w:lang w:val="en-GB"/>
              </w:rPr>
            </w:pPr>
            <w:proofErr w:type="gramStart"/>
            <w:r>
              <w:rPr>
                <w:rFonts w:ascii="Times New Roman" w:hAnsi="Times New Roman" w:cs="Times New Roman"/>
                <w:sz w:val="24"/>
                <w:lang w:val="en-GB"/>
              </w:rPr>
              <w:t>Where</w:t>
            </w:r>
            <w:proofErr w:type="gramEnd"/>
          </w:p>
          <w:p w14:paraId="029C180D" w14:textId="77777777" w:rsidR="00422A2A" w:rsidRDefault="00422A2A" w:rsidP="005A43AF">
            <w:pPr>
              <w:pStyle w:val="Paragraphe"/>
              <w:spacing w:before="0" w:after="0"/>
              <w:rPr>
                <w:rFonts w:ascii="Times New Roman" w:eastAsiaTheme="minorEastAsia" w:hAnsi="Times New Roman" w:cs="Times New Roman"/>
                <w:kern w:val="2"/>
                <w:sz w:val="24"/>
                <w:lang w:val="lv-LV" w:eastAsia="en-US"/>
                <w14:ligatures w14:val="standardContextual"/>
              </w:rPr>
            </w:pPr>
            <m:oMath>
              <m:sSub>
                <m:sSubPr>
                  <m:ctrlPr>
                    <w:rPr>
                      <w:rFonts w:ascii="Cambria Math" w:hAnsi="Cambria Math" w:cs="Times New Roman"/>
                      <w:i/>
                      <w:sz w:val="24"/>
                      <w:lang w:val="en-GB"/>
                    </w:rPr>
                  </m:ctrlPr>
                </m:sSubPr>
                <m:e>
                  <m:r>
                    <w:rPr>
                      <w:rFonts w:ascii="Cambria Math" w:hAnsi="Cambria Math" w:cs="Times New Roman"/>
                      <w:sz w:val="24"/>
                    </w:rPr>
                    <m:t>M</m:t>
                  </m:r>
                </m:e>
                <m:sub>
                  <m:r>
                    <w:rPr>
                      <w:rFonts w:ascii="Cambria Math" w:hAnsi="Cambria Math" w:cs="Times New Roman"/>
                      <w:sz w:val="24"/>
                    </w:rPr>
                    <m:t>aFRR</m:t>
                  </m:r>
                </m:sub>
              </m:sSub>
            </m:oMath>
            <w:r w:rsidRPr="003C534E">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 </w:t>
            </w:r>
            <w:proofErr w:type="spellStart"/>
            <w:r w:rsidRPr="000F5ECE">
              <w:rPr>
                <w:rFonts w:ascii="Times New Roman" w:eastAsiaTheme="minorEastAsia" w:hAnsi="Times New Roman" w:cs="Times New Roman"/>
                <w:kern w:val="2"/>
                <w:sz w:val="24"/>
                <w:lang w:val="lv-LV" w:eastAsia="en-US"/>
                <w14:ligatures w14:val="standardContextual"/>
              </w:rPr>
              <w:t>the</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payment</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for</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balancing</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energy</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for</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aFRR</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product</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bids</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for</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the</w:t>
            </w:r>
            <w:proofErr w:type="spellEnd"/>
            <w:r w:rsidRPr="000F5ECE">
              <w:rPr>
                <w:rFonts w:ascii="Times New Roman" w:eastAsiaTheme="minorEastAsia" w:hAnsi="Times New Roman" w:cs="Times New Roman"/>
                <w:kern w:val="2"/>
                <w:sz w:val="24"/>
                <w:lang w:val="lv-LV" w:eastAsia="en-US"/>
                <w14:ligatures w14:val="standardContextual"/>
              </w:rPr>
              <w:t xml:space="preserve"> relevant </w:t>
            </w:r>
            <w:proofErr w:type="spellStart"/>
            <w:r w:rsidRPr="000F5ECE">
              <w:rPr>
                <w:rFonts w:ascii="Times New Roman" w:eastAsiaTheme="minorEastAsia" w:hAnsi="Times New Roman" w:cs="Times New Roman"/>
                <w:kern w:val="2"/>
                <w:sz w:val="24"/>
                <w:lang w:val="lv-LV" w:eastAsia="en-US"/>
                <w14:ligatures w14:val="standardContextual"/>
              </w:rPr>
              <w:t>aFRR</w:t>
            </w:r>
            <w:proofErr w:type="spellEnd"/>
            <w:r w:rsidRPr="000F5ECE">
              <w:rPr>
                <w:rFonts w:ascii="Times New Roman" w:eastAsiaTheme="minorEastAsia" w:hAnsi="Times New Roman" w:cs="Times New Roman"/>
                <w:kern w:val="2"/>
                <w:sz w:val="24"/>
                <w:lang w:val="lv-LV" w:eastAsia="en-US"/>
                <w14:ligatures w14:val="standardContextual"/>
              </w:rPr>
              <w:t xml:space="preserve"> MTU </w:t>
            </w:r>
            <w:proofErr w:type="spellStart"/>
            <w:r w:rsidRPr="000F5ECE">
              <w:rPr>
                <w:rFonts w:ascii="Times New Roman" w:eastAsiaTheme="minorEastAsia" w:hAnsi="Times New Roman" w:cs="Times New Roman"/>
                <w:kern w:val="2"/>
                <w:sz w:val="24"/>
                <w:lang w:val="lv-LV" w:eastAsia="en-US"/>
                <w14:ligatures w14:val="standardContextual"/>
              </w:rPr>
              <w:t>and</w:t>
            </w:r>
            <w:proofErr w:type="spellEnd"/>
            <w:r w:rsidRPr="000F5ECE">
              <w:rPr>
                <w:rFonts w:ascii="Times New Roman" w:eastAsiaTheme="minorEastAsia" w:hAnsi="Times New Roman" w:cs="Times New Roman"/>
                <w:kern w:val="2"/>
                <w:sz w:val="24"/>
                <w:lang w:val="lv-LV" w:eastAsia="en-US"/>
                <w14:ligatures w14:val="standardContextual"/>
              </w:rPr>
              <w:t xml:space="preserve"> </w:t>
            </w:r>
            <w:proofErr w:type="spellStart"/>
            <w:r w:rsidRPr="000F5ECE">
              <w:rPr>
                <w:rFonts w:ascii="Times New Roman" w:eastAsiaTheme="minorEastAsia" w:hAnsi="Times New Roman" w:cs="Times New Roman"/>
                <w:kern w:val="2"/>
                <w:sz w:val="24"/>
                <w:lang w:val="lv-LV" w:eastAsia="en-US"/>
                <w14:ligatures w14:val="standardContextual"/>
              </w:rPr>
              <w:t>direction</w:t>
            </w:r>
            <w:proofErr w:type="spellEnd"/>
            <w:r w:rsidRPr="000F5ECE">
              <w:rPr>
                <w:rFonts w:ascii="Times New Roman" w:eastAsiaTheme="minorEastAsia" w:hAnsi="Times New Roman" w:cs="Times New Roman"/>
                <w:kern w:val="2"/>
                <w:sz w:val="24"/>
                <w:lang w:val="lv-LV" w:eastAsia="en-US"/>
                <w14:ligatures w14:val="standardContextual"/>
              </w:rPr>
              <w:t xml:space="preserve"> (EUR</w:t>
            </w:r>
            <w:proofErr w:type="gramStart"/>
            <w:r w:rsidRPr="000F5ECE">
              <w:rPr>
                <w:rFonts w:ascii="Times New Roman" w:eastAsiaTheme="minorEastAsia" w:hAnsi="Times New Roman" w:cs="Times New Roman"/>
                <w:kern w:val="2"/>
                <w:sz w:val="24"/>
                <w:lang w:val="lv-LV" w:eastAsia="en-US"/>
                <w14:ligatures w14:val="standardContextual"/>
              </w:rPr>
              <w:t>);</w:t>
            </w:r>
            <w:proofErr w:type="gramEnd"/>
          </w:p>
          <w:p w14:paraId="6D4DF523" w14:textId="3D52360B" w:rsidR="00422A2A" w:rsidRPr="00474261" w:rsidRDefault="00422A2A" w:rsidP="005A43AF">
            <w:pPr>
              <w:pStyle w:val="Paragraphe"/>
              <w:spacing w:before="0" w:after="0"/>
              <w:rPr>
                <w:rFonts w:ascii="Times New Roman" w:hAnsi="Times New Roman" w:cs="Times New Roman"/>
                <w:sz w:val="24"/>
                <w:lang w:val="en-GB"/>
              </w:rPr>
            </w:pPr>
            <m:oMath>
              <m:r>
                <w:rPr>
                  <w:rFonts w:ascii="Cambria Math" w:hAnsi="Cambria Math" w:cs="Times New Roman"/>
                  <w:sz w:val="24"/>
                </w:rPr>
                <m:t>M</m:t>
              </m:r>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aFRR</m:t>
                  </m:r>
                </m:sub>
              </m:sSub>
            </m:oMath>
            <w:r w:rsidRPr="00941DA8">
              <w:rPr>
                <w:rFonts w:ascii="Times New Roman" w:eastAsiaTheme="minorEastAsia" w:hAnsi="Times New Roman" w:cs="Times New Roman"/>
                <w:sz w:val="24"/>
              </w:rPr>
              <w:t xml:space="preserve"> – </w:t>
            </w:r>
            <w:r w:rsidRPr="00B46AD4">
              <w:rPr>
                <w:rFonts w:ascii="Times New Roman" w:eastAsiaTheme="minorEastAsia" w:hAnsi="Times New Roman" w:cs="Times New Roman"/>
                <w:sz w:val="24"/>
              </w:rPr>
              <w:t xml:space="preserve">the marginal </w:t>
            </w:r>
            <w:proofErr w:type="spellStart"/>
            <w:r w:rsidRPr="00B46AD4">
              <w:rPr>
                <w:rFonts w:ascii="Times New Roman" w:eastAsiaTheme="minorEastAsia" w:hAnsi="Times New Roman" w:cs="Times New Roman"/>
                <w:sz w:val="24"/>
              </w:rPr>
              <w:t>price</w:t>
            </w:r>
            <w:proofErr w:type="spellEnd"/>
            <w:r w:rsidRPr="00B46AD4">
              <w:rPr>
                <w:rFonts w:ascii="Times New Roman" w:eastAsiaTheme="minorEastAsia" w:hAnsi="Times New Roman" w:cs="Times New Roman"/>
                <w:sz w:val="24"/>
              </w:rPr>
              <w:t xml:space="preserve"> in the relevant </w:t>
            </w:r>
            <w:proofErr w:type="spellStart"/>
            <w:r w:rsidRPr="00B46AD4">
              <w:rPr>
                <w:rFonts w:ascii="Times New Roman" w:eastAsiaTheme="minorEastAsia" w:hAnsi="Times New Roman" w:cs="Times New Roman"/>
                <w:sz w:val="24"/>
              </w:rPr>
              <w:t>aFRR</w:t>
            </w:r>
            <w:proofErr w:type="spellEnd"/>
            <w:r w:rsidRPr="00B46AD4">
              <w:rPr>
                <w:rFonts w:ascii="Times New Roman" w:eastAsiaTheme="minorEastAsia" w:hAnsi="Times New Roman" w:cs="Times New Roman"/>
                <w:sz w:val="24"/>
              </w:rPr>
              <w:t xml:space="preserve"> MTU for </w:t>
            </w:r>
            <w:proofErr w:type="spellStart"/>
            <w:r w:rsidRPr="00B46AD4">
              <w:rPr>
                <w:rFonts w:ascii="Times New Roman" w:eastAsiaTheme="minorEastAsia" w:hAnsi="Times New Roman" w:cs="Times New Roman"/>
                <w:sz w:val="24"/>
              </w:rPr>
              <w:t>bids</w:t>
            </w:r>
            <w:proofErr w:type="spellEnd"/>
            <w:r w:rsidRPr="00B46AD4">
              <w:rPr>
                <w:rFonts w:ascii="Times New Roman" w:eastAsiaTheme="minorEastAsia" w:hAnsi="Times New Roman" w:cs="Times New Roman"/>
                <w:sz w:val="24"/>
              </w:rPr>
              <w:t xml:space="preserve"> for </w:t>
            </w:r>
            <w:proofErr w:type="spellStart"/>
            <w:r w:rsidRPr="00B46AD4">
              <w:rPr>
                <w:rFonts w:ascii="Times New Roman" w:eastAsiaTheme="minorEastAsia" w:hAnsi="Times New Roman" w:cs="Times New Roman"/>
                <w:sz w:val="24"/>
              </w:rPr>
              <w:t>aFRR</w:t>
            </w:r>
            <w:proofErr w:type="spellEnd"/>
            <w:r w:rsidRPr="00B46AD4">
              <w:rPr>
                <w:rFonts w:ascii="Times New Roman" w:eastAsiaTheme="minorEastAsia" w:hAnsi="Times New Roman" w:cs="Times New Roman"/>
                <w:sz w:val="24"/>
              </w:rPr>
              <w:t xml:space="preserve"> balancing </w:t>
            </w:r>
            <w:proofErr w:type="spellStart"/>
            <w:r w:rsidRPr="00B46AD4">
              <w:rPr>
                <w:rFonts w:ascii="Times New Roman" w:eastAsiaTheme="minorEastAsia" w:hAnsi="Times New Roman" w:cs="Times New Roman"/>
                <w:sz w:val="24"/>
              </w:rPr>
              <w:t>products</w:t>
            </w:r>
            <w:proofErr w:type="spellEnd"/>
            <w:r w:rsidRPr="00B46AD4">
              <w:rPr>
                <w:rFonts w:ascii="Times New Roman" w:eastAsiaTheme="minorEastAsia" w:hAnsi="Times New Roman" w:cs="Times New Roman"/>
                <w:sz w:val="24"/>
              </w:rPr>
              <w:t>.</w:t>
            </w:r>
          </w:p>
        </w:tc>
        <w:tc>
          <w:tcPr>
            <w:tcW w:w="3760" w:type="dxa"/>
          </w:tcPr>
          <w:p w14:paraId="1E243ABD" w14:textId="2114B39C" w:rsidR="00422A2A" w:rsidRPr="005A43AF" w:rsidRDefault="00422A2A" w:rsidP="005A43AF">
            <w:pPr>
              <w:jc w:val="both"/>
              <w:rPr>
                <w:rFonts w:ascii="Times New Roman" w:hAnsi="Times New Roman" w:cs="Times New Roman"/>
                <w:sz w:val="24"/>
                <w:szCs w:val="24"/>
              </w:rPr>
            </w:pPr>
            <w:r w:rsidRPr="005A43AF">
              <w:rPr>
                <w:rFonts w:ascii="Times New Roman" w:hAnsi="Times New Roman" w:cs="Times New Roman"/>
                <w:sz w:val="24"/>
                <w:szCs w:val="24"/>
              </w:rPr>
              <w:t xml:space="preserve">Maksa par </w:t>
            </w:r>
            <w:proofErr w:type="spellStart"/>
            <w:r w:rsidRPr="005A43AF">
              <w:rPr>
                <w:rFonts w:ascii="Times New Roman" w:hAnsi="Times New Roman" w:cs="Times New Roman"/>
                <w:sz w:val="24"/>
                <w:szCs w:val="24"/>
              </w:rPr>
              <w:t>aFRR</w:t>
            </w:r>
            <w:proofErr w:type="spellEnd"/>
            <w:r w:rsidRPr="005A43AF">
              <w:rPr>
                <w:rFonts w:ascii="Times New Roman" w:hAnsi="Times New Roman" w:cs="Times New Roman"/>
                <w:sz w:val="24"/>
                <w:szCs w:val="24"/>
              </w:rPr>
              <w:t xml:space="preserve"> regulēšanas enerģiju, kuru PSO kontroles zonā pircis vai pārdevis </w:t>
            </w:r>
            <w:proofErr w:type="spellStart"/>
            <w:r w:rsidRPr="005A43AF">
              <w:rPr>
                <w:rFonts w:ascii="Times New Roman" w:hAnsi="Times New Roman" w:cs="Times New Roman"/>
                <w:sz w:val="24"/>
                <w:szCs w:val="24"/>
              </w:rPr>
              <w:t>aFRR</w:t>
            </w:r>
            <w:proofErr w:type="spellEnd"/>
            <w:r w:rsidRPr="005A43AF">
              <w:rPr>
                <w:rFonts w:ascii="Times New Roman" w:hAnsi="Times New Roman" w:cs="Times New Roman"/>
                <w:sz w:val="24"/>
                <w:szCs w:val="24"/>
              </w:rPr>
              <w:t xml:space="preserve"> MTU ietvaros tiek aprēķināta kā </w:t>
            </w:r>
            <w:proofErr w:type="spellStart"/>
            <w:r w:rsidRPr="005A43AF">
              <w:rPr>
                <w:rFonts w:ascii="Times New Roman" w:hAnsi="Times New Roman" w:cs="Times New Roman"/>
                <w:sz w:val="24"/>
                <w:szCs w:val="24"/>
              </w:rPr>
              <w:t>aFRR</w:t>
            </w:r>
            <w:proofErr w:type="spellEnd"/>
            <w:r w:rsidRPr="005A43AF">
              <w:rPr>
                <w:rFonts w:ascii="Times New Roman" w:hAnsi="Times New Roman" w:cs="Times New Roman"/>
                <w:sz w:val="24"/>
                <w:szCs w:val="24"/>
              </w:rPr>
              <w:t xml:space="preserve"> regulēšanas enerģijas apjoma un CBMP reizinājums šādi</w:t>
            </w:r>
          </w:p>
          <w:p w14:paraId="1FEACB6A" w14:textId="09096394" w:rsidR="00422A2A" w:rsidRDefault="00422A2A" w:rsidP="005A43AF">
            <w:pPr>
              <w:jc w:val="both"/>
              <w:rPr>
                <w:rFonts w:ascii="Times New Roman" w:eastAsiaTheme="minorEastAsia" w:hAnsi="Times New Roman" w:cs="Times New Roman"/>
                <w:sz w:val="24"/>
              </w:rPr>
            </w:pPr>
            <m:oMath>
              <m:sSub>
                <m:sSubPr>
                  <m:ctrlPr>
                    <w:rPr>
                      <w:rFonts w:ascii="Cambria Math" w:hAnsi="Cambria Math" w:cs="Times New Roman"/>
                      <w:i/>
                      <w:sz w:val="24"/>
                      <w:lang w:val="en-GB"/>
                    </w:rPr>
                  </m:ctrlPr>
                </m:sSubPr>
                <m:e>
                  <m:r>
                    <w:rPr>
                      <w:rFonts w:ascii="Cambria Math" w:hAnsi="Cambria Math" w:cs="Times New Roman"/>
                      <w:sz w:val="24"/>
                    </w:rPr>
                    <m:t>M</m:t>
                  </m:r>
                </m:e>
                <m:sub>
                  <m:r>
                    <w:rPr>
                      <w:rFonts w:ascii="Cambria Math" w:hAnsi="Cambria Math" w:cs="Times New Roman"/>
                      <w:sz w:val="24"/>
                    </w:rPr>
                    <m:t>aFRR</m:t>
                  </m:r>
                </m:sub>
              </m:sSub>
              <m:r>
                <w:rPr>
                  <w:rFonts w:ascii="Cambria Math" w:hAnsi="Cambria Math" w:cs="Times New Roman"/>
                  <w:sz w:val="24"/>
                </w:rPr>
                <m:t>=</m:t>
              </m:r>
              <m:sSub>
                <m:sSubPr>
                  <m:ctrlPr>
                    <w:rPr>
                      <w:rFonts w:ascii="Cambria Math" w:hAnsi="Cambria Math" w:cs="Times New Roman"/>
                      <w:i/>
                      <w:sz w:val="24"/>
                      <w:lang w:val="en-GB"/>
                    </w:rPr>
                  </m:ctrlPr>
                </m:sSubPr>
                <m:e>
                  <m:r>
                    <w:rPr>
                      <w:rFonts w:ascii="Cambria Math" w:hAnsi="Cambria Math" w:cs="Times New Roman"/>
                      <w:sz w:val="24"/>
                    </w:rPr>
                    <m:t>E</m:t>
                  </m:r>
                </m:e>
                <m:sub>
                  <m:r>
                    <w:rPr>
                      <w:rFonts w:ascii="Cambria Math" w:hAnsi="Cambria Math" w:cs="Times New Roman"/>
                      <w:sz w:val="24"/>
                    </w:rPr>
                    <m:t>aFRR</m:t>
                  </m:r>
                </m:sub>
              </m:sSub>
              <m:r>
                <w:rPr>
                  <w:rFonts w:ascii="Cambria Math" w:hAnsi="Cambria Math" w:cs="Times New Roman"/>
                  <w:sz w:val="24"/>
                </w:rPr>
                <m:t>*</m:t>
              </m:r>
              <m:sSub>
                <m:sSubPr>
                  <m:ctrlPr>
                    <w:rPr>
                      <w:rFonts w:ascii="Cambria Math" w:hAnsi="Cambria Math" w:cs="Times New Roman"/>
                      <w:i/>
                      <w:sz w:val="24"/>
                      <w:lang w:val="en-GB"/>
                    </w:rPr>
                  </m:ctrlPr>
                </m:sSubPr>
                <m:e>
                  <m:r>
                    <w:rPr>
                      <w:rFonts w:ascii="Cambria Math" w:hAnsi="Cambria Math" w:cs="Times New Roman"/>
                      <w:sz w:val="24"/>
                    </w:rPr>
                    <m:t>MP</m:t>
                  </m:r>
                </m:e>
                <m:sub>
                  <m:r>
                    <w:rPr>
                      <w:rFonts w:ascii="Cambria Math" w:hAnsi="Cambria Math" w:cs="Times New Roman"/>
                      <w:sz w:val="24"/>
                    </w:rPr>
                    <m:t>aFRR</m:t>
                  </m:r>
                </m:sub>
              </m:sSub>
            </m:oMath>
            <w:r w:rsidRPr="0030041C">
              <w:rPr>
                <w:rFonts w:ascii="Times New Roman" w:eastAsiaTheme="minorEastAsia" w:hAnsi="Times New Roman" w:cs="Times New Roman"/>
                <w:sz w:val="24"/>
              </w:rPr>
              <w:t>,</w:t>
            </w:r>
          </w:p>
          <w:p w14:paraId="3E4F2DA2" w14:textId="77777777" w:rsidR="00422A2A" w:rsidRDefault="00422A2A" w:rsidP="005A43AF">
            <w:pPr>
              <w:jc w:val="both"/>
              <w:rPr>
                <w:rFonts w:ascii="Times New Roman" w:eastAsiaTheme="minorEastAsia" w:hAnsi="Times New Roman" w:cs="Times New Roman"/>
                <w:sz w:val="24"/>
                <w:szCs w:val="24"/>
              </w:rPr>
            </w:pPr>
          </w:p>
          <w:p w14:paraId="5B3555A1" w14:textId="4312ABA2" w:rsidR="00422A2A" w:rsidRDefault="00422A2A" w:rsidP="005A43A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w:t>
            </w:r>
          </w:p>
          <w:p w14:paraId="32910DC9" w14:textId="77777777" w:rsidR="00422A2A" w:rsidRDefault="00422A2A" w:rsidP="005A43AF">
            <w:pPr>
              <w:jc w:val="both"/>
              <w:rPr>
                <w:rFonts w:ascii="Times New Roman" w:eastAsiaTheme="minorEastAsia" w:hAnsi="Times New Roman" w:cs="Times New Roman"/>
                <w:sz w:val="24"/>
                <w:szCs w:val="24"/>
              </w:rPr>
            </w:pPr>
            <m:oMath>
              <m:sSub>
                <m:sSubPr>
                  <m:ctrlPr>
                    <w:rPr>
                      <w:rFonts w:ascii="Cambria Math" w:hAnsi="Cambria Math" w:cs="Times New Roman"/>
                      <w:i/>
                      <w:sz w:val="24"/>
                      <w:lang w:val="en-GB"/>
                    </w:rPr>
                  </m:ctrlPr>
                </m:sSubPr>
                <m:e>
                  <m:r>
                    <w:rPr>
                      <w:rFonts w:ascii="Cambria Math" w:hAnsi="Cambria Math" w:cs="Times New Roman"/>
                      <w:sz w:val="24"/>
                    </w:rPr>
                    <m:t>M</m:t>
                  </m:r>
                </m:e>
                <m:sub>
                  <m:r>
                    <w:rPr>
                      <w:rFonts w:ascii="Cambria Math" w:hAnsi="Cambria Math" w:cs="Times New Roman"/>
                      <w:sz w:val="24"/>
                    </w:rPr>
                    <m:t>aFRR</m:t>
                  </m:r>
                </m:sub>
              </m:sSub>
            </m:oMath>
            <w:r w:rsidRPr="003C53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3C534E">
              <w:rPr>
                <w:rFonts w:ascii="Times New Roman" w:eastAsiaTheme="minorEastAsia" w:hAnsi="Times New Roman" w:cs="Times New Roman"/>
                <w:sz w:val="24"/>
                <w:szCs w:val="24"/>
              </w:rPr>
              <w:t xml:space="preserve">maksa par regulēšanas enerģiju </w:t>
            </w:r>
            <w:proofErr w:type="spellStart"/>
            <w:r>
              <w:rPr>
                <w:rFonts w:ascii="Times New Roman" w:eastAsiaTheme="minorEastAsia" w:hAnsi="Times New Roman" w:cs="Times New Roman"/>
                <w:sz w:val="24"/>
                <w:szCs w:val="24"/>
              </w:rPr>
              <w:t>a</w:t>
            </w:r>
            <w:r w:rsidRPr="003C534E">
              <w:rPr>
                <w:rFonts w:ascii="Times New Roman" w:eastAsiaTheme="minorEastAsia" w:hAnsi="Times New Roman" w:cs="Times New Roman"/>
                <w:sz w:val="24"/>
                <w:szCs w:val="24"/>
              </w:rPr>
              <w:t>FRR</w:t>
            </w:r>
            <w:proofErr w:type="spellEnd"/>
            <w:r w:rsidRPr="003C534E">
              <w:rPr>
                <w:rFonts w:ascii="Times New Roman" w:eastAsiaTheme="minorEastAsia" w:hAnsi="Times New Roman" w:cs="Times New Roman"/>
                <w:sz w:val="24"/>
                <w:szCs w:val="24"/>
              </w:rPr>
              <w:t xml:space="preserve"> produktu solījumiem</w:t>
            </w:r>
            <w:r>
              <w:rPr>
                <w:rFonts w:ascii="Times New Roman" w:eastAsiaTheme="minorEastAsia" w:hAnsi="Times New Roman" w:cs="Times New Roman"/>
                <w:sz w:val="24"/>
                <w:szCs w:val="24"/>
              </w:rPr>
              <w:t xml:space="preserve"> </w:t>
            </w:r>
            <w:r w:rsidRPr="003C534E">
              <w:rPr>
                <w:rFonts w:ascii="Times New Roman" w:eastAsiaTheme="minorEastAsia" w:hAnsi="Times New Roman" w:cs="Times New Roman"/>
                <w:sz w:val="24"/>
                <w:szCs w:val="24"/>
              </w:rPr>
              <w:t xml:space="preserve">attiecīgajam </w:t>
            </w:r>
            <w:proofErr w:type="spellStart"/>
            <w:r>
              <w:rPr>
                <w:rFonts w:ascii="Times New Roman" w:eastAsiaTheme="minorEastAsia" w:hAnsi="Times New Roman" w:cs="Times New Roman"/>
                <w:sz w:val="24"/>
                <w:szCs w:val="24"/>
              </w:rPr>
              <w:t>a</w:t>
            </w:r>
            <w:r w:rsidRPr="003C534E">
              <w:rPr>
                <w:rFonts w:ascii="Times New Roman" w:eastAsiaTheme="minorEastAsia" w:hAnsi="Times New Roman" w:cs="Times New Roman"/>
                <w:sz w:val="24"/>
                <w:szCs w:val="24"/>
              </w:rPr>
              <w:t>FRR</w:t>
            </w:r>
            <w:proofErr w:type="spellEnd"/>
            <w:r w:rsidRPr="003C534E">
              <w:rPr>
                <w:rFonts w:ascii="Times New Roman" w:eastAsiaTheme="minorEastAsia" w:hAnsi="Times New Roman" w:cs="Times New Roman"/>
                <w:sz w:val="24"/>
                <w:szCs w:val="24"/>
              </w:rPr>
              <w:t xml:space="preserve"> MTU un virzienam (EUR);</w:t>
            </w:r>
          </w:p>
          <w:p w14:paraId="62C239D9" w14:textId="77B76840" w:rsidR="00422A2A" w:rsidRPr="0030041C" w:rsidRDefault="00422A2A" w:rsidP="005A43AF">
            <w:pPr>
              <w:jc w:val="both"/>
              <w:rPr>
                <w:rFonts w:ascii="Times New Roman" w:hAnsi="Times New Roman" w:cs="Times New Roman"/>
                <w:sz w:val="24"/>
                <w:szCs w:val="24"/>
              </w:rPr>
            </w:pP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aFRR</m:t>
                  </m:r>
                </m:sub>
              </m:sSub>
            </m:oMath>
            <w:r w:rsidRPr="00941DA8">
              <w:rPr>
                <w:rFonts w:ascii="Times New Roman" w:eastAsiaTheme="minorEastAsia" w:hAnsi="Times New Roman" w:cs="Times New Roman"/>
                <w:sz w:val="24"/>
                <w:szCs w:val="24"/>
              </w:rPr>
              <w:t xml:space="preserve"> – robežcena attiecīgajā </w:t>
            </w:r>
            <w:proofErr w:type="spellStart"/>
            <w:r>
              <w:rPr>
                <w:rFonts w:ascii="Times New Roman" w:eastAsiaTheme="minorEastAsia" w:hAnsi="Times New Roman" w:cs="Times New Roman"/>
                <w:sz w:val="24"/>
                <w:szCs w:val="24"/>
              </w:rPr>
              <w:t>a</w:t>
            </w:r>
            <w:r w:rsidRPr="00941DA8">
              <w:rPr>
                <w:rFonts w:ascii="Times New Roman" w:eastAsiaTheme="minorEastAsia" w:hAnsi="Times New Roman" w:cs="Times New Roman"/>
                <w:sz w:val="24"/>
                <w:szCs w:val="24"/>
              </w:rPr>
              <w:t>FRR</w:t>
            </w:r>
            <w:proofErr w:type="spellEnd"/>
            <w:r w:rsidRPr="00941DA8">
              <w:rPr>
                <w:rFonts w:ascii="Times New Roman" w:eastAsiaTheme="minorEastAsia" w:hAnsi="Times New Roman" w:cs="Times New Roman"/>
                <w:sz w:val="24"/>
                <w:szCs w:val="24"/>
              </w:rPr>
              <w:t xml:space="preserve"> MTU par </w:t>
            </w:r>
            <w:proofErr w:type="spellStart"/>
            <w:r>
              <w:rPr>
                <w:rFonts w:ascii="Times New Roman" w:eastAsiaTheme="minorEastAsia" w:hAnsi="Times New Roman" w:cs="Times New Roman"/>
                <w:sz w:val="24"/>
                <w:szCs w:val="24"/>
              </w:rPr>
              <w:t>a</w:t>
            </w:r>
            <w:r w:rsidRPr="00941DA8">
              <w:rPr>
                <w:rFonts w:ascii="Times New Roman" w:eastAsiaTheme="minorEastAsia" w:hAnsi="Times New Roman" w:cs="Times New Roman"/>
                <w:sz w:val="24"/>
                <w:szCs w:val="24"/>
              </w:rPr>
              <w:t>FRR</w:t>
            </w:r>
            <w:proofErr w:type="spellEnd"/>
            <w:r w:rsidRPr="00941DA8">
              <w:rPr>
                <w:rFonts w:ascii="Times New Roman" w:eastAsiaTheme="minorEastAsia" w:hAnsi="Times New Roman" w:cs="Times New Roman"/>
                <w:sz w:val="24"/>
                <w:szCs w:val="24"/>
              </w:rPr>
              <w:t xml:space="preserve"> regulēšanas produktu solījumiem</w:t>
            </w:r>
            <w:r>
              <w:rPr>
                <w:rFonts w:ascii="Times New Roman" w:eastAsiaTheme="minorEastAsia" w:hAnsi="Times New Roman" w:cs="Times New Roman"/>
                <w:sz w:val="24"/>
                <w:szCs w:val="24"/>
              </w:rPr>
              <w:t>.</w:t>
            </w:r>
          </w:p>
        </w:tc>
      </w:tr>
      <w:tr w:rsidR="00F527BD" w14:paraId="4026F2B5" w14:textId="77777777" w:rsidTr="00F527BD">
        <w:tc>
          <w:tcPr>
            <w:tcW w:w="1276" w:type="dxa"/>
          </w:tcPr>
          <w:p w14:paraId="0CFE61CE" w14:textId="77D42FF3" w:rsidR="00422A2A" w:rsidRPr="00941DA8" w:rsidRDefault="00945F64" w:rsidP="00945F64">
            <w:pPr>
              <w:pStyle w:val="Paragraphe"/>
              <w:spacing w:before="0" w:after="0"/>
              <w:ind w:left="540"/>
              <w:rPr>
                <w:rFonts w:ascii="Times New Roman" w:hAnsi="Times New Roman" w:cs="Times New Roman"/>
                <w:b/>
                <w:bCs/>
                <w:sz w:val="24"/>
                <w:lang w:val="en-US"/>
              </w:rPr>
            </w:pPr>
            <w:r>
              <w:rPr>
                <w:rFonts w:ascii="Times New Roman" w:hAnsi="Times New Roman" w:cs="Times New Roman"/>
                <w:b/>
                <w:bCs/>
                <w:sz w:val="24"/>
                <w:lang w:val="en-US"/>
              </w:rPr>
              <w:t>9.</w:t>
            </w:r>
          </w:p>
        </w:tc>
        <w:tc>
          <w:tcPr>
            <w:tcW w:w="3890" w:type="dxa"/>
          </w:tcPr>
          <w:p w14:paraId="03AD1E53" w14:textId="566C1F6C" w:rsidR="00422A2A" w:rsidRPr="00941DA8" w:rsidRDefault="00422A2A" w:rsidP="00945F64">
            <w:pPr>
              <w:pStyle w:val="Paragraphe"/>
              <w:spacing w:before="0" w:after="0"/>
              <w:rPr>
                <w:rFonts w:ascii="Times New Roman" w:hAnsi="Times New Roman" w:cs="Times New Roman"/>
                <w:b/>
                <w:bCs/>
                <w:sz w:val="24"/>
                <w:lang w:val="en-US"/>
              </w:rPr>
            </w:pPr>
            <w:r w:rsidRPr="00941DA8">
              <w:rPr>
                <w:rFonts w:ascii="Times New Roman" w:hAnsi="Times New Roman" w:cs="Times New Roman"/>
                <w:b/>
                <w:bCs/>
                <w:sz w:val="24"/>
                <w:lang w:val="en-US"/>
              </w:rPr>
              <w:t>Market information and transparency</w:t>
            </w:r>
          </w:p>
        </w:tc>
        <w:tc>
          <w:tcPr>
            <w:tcW w:w="3760" w:type="dxa"/>
          </w:tcPr>
          <w:p w14:paraId="2370F9AC" w14:textId="63CFAC5A" w:rsidR="00422A2A" w:rsidRPr="0030041C" w:rsidRDefault="00422A2A" w:rsidP="005A43AF">
            <w:pPr>
              <w:jc w:val="center"/>
              <w:rPr>
                <w:rFonts w:ascii="Times New Roman" w:hAnsi="Times New Roman" w:cs="Times New Roman"/>
                <w:b/>
                <w:bCs/>
                <w:sz w:val="24"/>
                <w:szCs w:val="24"/>
              </w:rPr>
            </w:pPr>
            <w:r w:rsidRPr="0030041C">
              <w:rPr>
                <w:rFonts w:ascii="Times New Roman" w:hAnsi="Times New Roman" w:cs="Times New Roman"/>
                <w:b/>
                <w:bCs/>
                <w:sz w:val="24"/>
                <w:szCs w:val="24"/>
              </w:rPr>
              <w:t>Tirgus informācija un caurskatāmība</w:t>
            </w:r>
          </w:p>
        </w:tc>
      </w:tr>
      <w:tr w:rsidR="00F527BD" w14:paraId="2349C08C" w14:textId="77777777" w:rsidTr="00F527BD">
        <w:tc>
          <w:tcPr>
            <w:tcW w:w="1276" w:type="dxa"/>
          </w:tcPr>
          <w:p w14:paraId="54994315" w14:textId="420F28EE" w:rsidR="00422A2A" w:rsidRPr="00941DA8" w:rsidRDefault="00422A2A" w:rsidP="00F527BD">
            <w:pPr>
              <w:pStyle w:val="Paragraphe"/>
              <w:numPr>
                <w:ilvl w:val="1"/>
                <w:numId w:val="91"/>
              </w:numPr>
              <w:spacing w:before="0" w:after="0"/>
              <w:jc w:val="center"/>
              <w:rPr>
                <w:lang w:val="en-US"/>
              </w:rPr>
            </w:pPr>
          </w:p>
        </w:tc>
        <w:tc>
          <w:tcPr>
            <w:tcW w:w="3890" w:type="dxa"/>
          </w:tcPr>
          <w:p w14:paraId="3139DE93" w14:textId="15FAE113" w:rsidR="00422A2A" w:rsidRPr="00941DA8" w:rsidRDefault="00422A2A" w:rsidP="00945F64">
            <w:pPr>
              <w:pStyle w:val="Point0number"/>
              <w:numPr>
                <w:ilvl w:val="0"/>
                <w:numId w:val="0"/>
              </w:numPr>
              <w:spacing w:before="0" w:after="0"/>
              <w:rPr>
                <w:rFonts w:eastAsia="Times New Roman"/>
                <w:b/>
                <w:bCs/>
                <w:szCs w:val="24"/>
                <w:lang w:val="en-US"/>
              </w:rPr>
            </w:pPr>
            <w:r w:rsidRPr="00941DA8">
              <w:rPr>
                <w:rFonts w:eastAsia="Times New Roman"/>
                <w:szCs w:val="24"/>
                <w:lang w:val="en-US"/>
              </w:rPr>
              <w:t>After the end of ISP TSO ensure that all information regarding activation orders is complete and publicly available on Baltic transparency dashboard and on the central ENTSO-E information transparency platform.</w:t>
            </w:r>
          </w:p>
        </w:tc>
        <w:tc>
          <w:tcPr>
            <w:tcW w:w="3760" w:type="dxa"/>
          </w:tcPr>
          <w:p w14:paraId="141C788F" w14:textId="25391CAE" w:rsidR="00422A2A" w:rsidRPr="00941DA8" w:rsidRDefault="00422A2A" w:rsidP="005A43AF">
            <w:pPr>
              <w:jc w:val="both"/>
              <w:rPr>
                <w:rFonts w:ascii="Times New Roman" w:hAnsi="Times New Roman" w:cs="Times New Roman"/>
                <w:b/>
                <w:bCs/>
                <w:sz w:val="24"/>
                <w:szCs w:val="24"/>
              </w:rPr>
            </w:pPr>
            <w:r w:rsidRPr="00941DA8">
              <w:rPr>
                <w:rFonts w:ascii="Times New Roman" w:hAnsi="Times New Roman" w:cs="Times New Roman"/>
                <w:sz w:val="24"/>
                <w:szCs w:val="24"/>
              </w:rPr>
              <w:t xml:space="preserve">Pēc ISP beigām PSO nodrošina, ka informācija par veiktajām aktivizācijām ir pilnīga un publiski pieejama Baltijas </w:t>
            </w:r>
            <w:proofErr w:type="spellStart"/>
            <w:r w:rsidRPr="00941DA8">
              <w:rPr>
                <w:rFonts w:ascii="Times New Roman" w:hAnsi="Times New Roman" w:cs="Times New Roman"/>
                <w:sz w:val="24"/>
                <w:szCs w:val="24"/>
              </w:rPr>
              <w:t>pārredzamības</w:t>
            </w:r>
            <w:proofErr w:type="spellEnd"/>
            <w:r w:rsidRPr="00941DA8">
              <w:rPr>
                <w:rFonts w:ascii="Times New Roman" w:hAnsi="Times New Roman" w:cs="Times New Roman"/>
                <w:sz w:val="24"/>
                <w:szCs w:val="24"/>
              </w:rPr>
              <w:t xml:space="preserve"> platformā un centrālajā ENTSO-E </w:t>
            </w:r>
            <w:proofErr w:type="spellStart"/>
            <w:r w:rsidRPr="00941DA8">
              <w:rPr>
                <w:rFonts w:ascii="Times New Roman" w:hAnsi="Times New Roman" w:cs="Times New Roman"/>
                <w:sz w:val="24"/>
                <w:szCs w:val="24"/>
              </w:rPr>
              <w:t>pārredzamības</w:t>
            </w:r>
            <w:proofErr w:type="spellEnd"/>
            <w:r w:rsidRPr="00941DA8">
              <w:rPr>
                <w:rFonts w:ascii="Times New Roman" w:hAnsi="Times New Roman" w:cs="Times New Roman"/>
                <w:sz w:val="24"/>
                <w:szCs w:val="24"/>
              </w:rPr>
              <w:t xml:space="preserve"> platformā. </w:t>
            </w:r>
          </w:p>
        </w:tc>
      </w:tr>
      <w:tr w:rsidR="00F527BD" w14:paraId="49A3C5FE" w14:textId="77777777" w:rsidTr="00F527BD">
        <w:trPr>
          <w:trHeight w:val="609"/>
        </w:trPr>
        <w:tc>
          <w:tcPr>
            <w:tcW w:w="1276" w:type="dxa"/>
          </w:tcPr>
          <w:p w14:paraId="62A00837" w14:textId="0BFE5414" w:rsidR="00F527BD" w:rsidRPr="00941DA8" w:rsidRDefault="00F527BD" w:rsidP="00F527BD">
            <w:pPr>
              <w:pStyle w:val="Point0number"/>
              <w:numPr>
                <w:ilvl w:val="1"/>
                <w:numId w:val="91"/>
              </w:numPr>
              <w:spacing w:before="0" w:after="0"/>
              <w:rPr>
                <w:rFonts w:eastAsia="Times New Roman"/>
                <w:szCs w:val="24"/>
                <w:lang w:val="en-US"/>
              </w:rPr>
            </w:pPr>
          </w:p>
        </w:tc>
        <w:tc>
          <w:tcPr>
            <w:tcW w:w="3890" w:type="dxa"/>
          </w:tcPr>
          <w:p w14:paraId="5F6C6FFB" w14:textId="6419990C" w:rsidR="00F527BD" w:rsidRPr="004D4FC7" w:rsidRDefault="00F527BD"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Continuously the following information is available at Baltic transparency dashboard:</w:t>
            </w:r>
            <w:r>
              <w:rPr>
                <w:rFonts w:eastAsia="Times New Roman"/>
                <w:szCs w:val="24"/>
                <w:lang w:val="en-US"/>
              </w:rPr>
              <w:t xml:space="preserve"> </w:t>
            </w:r>
          </w:p>
        </w:tc>
        <w:tc>
          <w:tcPr>
            <w:tcW w:w="3760" w:type="dxa"/>
          </w:tcPr>
          <w:p w14:paraId="5E10E811" w14:textId="0C508B7E" w:rsidR="00F527BD" w:rsidRPr="00941DA8" w:rsidRDefault="00F527BD" w:rsidP="005A43AF">
            <w:pPr>
              <w:jc w:val="both"/>
              <w:rPr>
                <w:rFonts w:ascii="Times New Roman" w:hAnsi="Times New Roman" w:cs="Times New Roman"/>
                <w:sz w:val="24"/>
                <w:szCs w:val="24"/>
              </w:rPr>
            </w:pPr>
            <w:r w:rsidRPr="00941DA8">
              <w:rPr>
                <w:rFonts w:ascii="Times New Roman" w:hAnsi="Times New Roman" w:cs="Times New Roman"/>
                <w:sz w:val="24"/>
                <w:szCs w:val="24"/>
              </w:rPr>
              <w:t xml:space="preserve">Baltijas </w:t>
            </w:r>
            <w:proofErr w:type="spellStart"/>
            <w:r w:rsidRPr="00941DA8">
              <w:rPr>
                <w:rFonts w:ascii="Times New Roman" w:hAnsi="Times New Roman" w:cs="Times New Roman"/>
                <w:sz w:val="24"/>
                <w:szCs w:val="24"/>
              </w:rPr>
              <w:t>pārredzamības</w:t>
            </w:r>
            <w:proofErr w:type="spellEnd"/>
            <w:r w:rsidRPr="00941DA8">
              <w:rPr>
                <w:rFonts w:ascii="Times New Roman" w:hAnsi="Times New Roman" w:cs="Times New Roman"/>
                <w:sz w:val="24"/>
                <w:szCs w:val="24"/>
              </w:rPr>
              <w:t xml:space="preserve"> platformā pieejama informācija tekoši par:</w:t>
            </w:r>
            <w:r>
              <w:rPr>
                <w:rFonts w:ascii="Times New Roman" w:hAnsi="Times New Roman" w:cs="Times New Roman"/>
                <w:sz w:val="24"/>
                <w:szCs w:val="24"/>
              </w:rPr>
              <w:t xml:space="preserve"> </w:t>
            </w:r>
          </w:p>
        </w:tc>
      </w:tr>
      <w:tr w:rsidR="00F527BD" w14:paraId="140566CD" w14:textId="77777777" w:rsidTr="00F527BD">
        <w:trPr>
          <w:trHeight w:val="609"/>
        </w:trPr>
        <w:tc>
          <w:tcPr>
            <w:tcW w:w="1276" w:type="dxa"/>
          </w:tcPr>
          <w:p w14:paraId="257DCF32" w14:textId="77777777" w:rsidR="00F527BD" w:rsidRPr="00941DA8" w:rsidRDefault="00F527BD" w:rsidP="00F527BD">
            <w:pPr>
              <w:pStyle w:val="Point0number"/>
              <w:numPr>
                <w:ilvl w:val="2"/>
                <w:numId w:val="91"/>
              </w:numPr>
              <w:spacing w:before="0" w:after="0"/>
              <w:rPr>
                <w:rFonts w:eastAsia="Times New Roman"/>
                <w:szCs w:val="24"/>
                <w:lang w:val="en-US"/>
              </w:rPr>
            </w:pPr>
          </w:p>
        </w:tc>
        <w:tc>
          <w:tcPr>
            <w:tcW w:w="3890" w:type="dxa"/>
          </w:tcPr>
          <w:p w14:paraId="66826696" w14:textId="3160CF33" w:rsidR="00F527BD" w:rsidRPr="00941DA8" w:rsidRDefault="00F527BD" w:rsidP="00F527BD">
            <w:pPr>
              <w:pStyle w:val="Point0number"/>
              <w:numPr>
                <w:ilvl w:val="0"/>
                <w:numId w:val="0"/>
              </w:numPr>
              <w:spacing w:before="0" w:after="0"/>
              <w:rPr>
                <w:rFonts w:eastAsia="Times New Roman"/>
                <w:szCs w:val="24"/>
                <w:lang w:val="en-US"/>
              </w:rPr>
            </w:pPr>
            <w:r w:rsidRPr="004D4FC7">
              <w:rPr>
                <w:rFonts w:eastAsia="Times New Roman"/>
                <w:szCs w:val="24"/>
                <w:lang w:val="en-US"/>
              </w:rPr>
              <w:t>current balancing state.</w:t>
            </w:r>
          </w:p>
        </w:tc>
        <w:tc>
          <w:tcPr>
            <w:tcW w:w="3760" w:type="dxa"/>
          </w:tcPr>
          <w:p w14:paraId="33A675E3" w14:textId="09041CF2" w:rsidR="00F527BD" w:rsidRPr="00941DA8" w:rsidRDefault="00F527BD" w:rsidP="005A43AF">
            <w:pPr>
              <w:jc w:val="both"/>
              <w:rPr>
                <w:rFonts w:ascii="Times New Roman" w:hAnsi="Times New Roman" w:cs="Times New Roman"/>
                <w:sz w:val="24"/>
                <w:szCs w:val="24"/>
              </w:rPr>
            </w:pPr>
            <w:r w:rsidRPr="00941DA8">
              <w:rPr>
                <w:rFonts w:ascii="Times New Roman" w:hAnsi="Times New Roman" w:cs="Times New Roman"/>
                <w:sz w:val="24"/>
                <w:szCs w:val="24"/>
              </w:rPr>
              <w:t>Pašreizējo balansēšanas stāvokli</w:t>
            </w:r>
          </w:p>
        </w:tc>
      </w:tr>
      <w:tr w:rsidR="00F527BD" w14:paraId="63030290" w14:textId="77777777" w:rsidTr="00F527BD">
        <w:trPr>
          <w:trHeight w:val="512"/>
        </w:trPr>
        <w:tc>
          <w:tcPr>
            <w:tcW w:w="1276" w:type="dxa"/>
          </w:tcPr>
          <w:p w14:paraId="25D892E5"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2AEF77BE" w14:textId="30682177" w:rsidR="00422A2A" w:rsidRPr="00941DA8" w:rsidRDefault="00422A2A" w:rsidP="00F527BD">
            <w:pPr>
              <w:pStyle w:val="Point0number"/>
              <w:numPr>
                <w:ilvl w:val="0"/>
                <w:numId w:val="0"/>
              </w:numPr>
              <w:spacing w:before="0" w:after="0"/>
              <w:rPr>
                <w:rFonts w:eastAsia="Times New Roman"/>
                <w:b/>
                <w:bCs/>
                <w:szCs w:val="24"/>
                <w:lang w:val="en-US"/>
              </w:rPr>
            </w:pPr>
            <w:r w:rsidRPr="00941DA8">
              <w:rPr>
                <w:rFonts w:eastAsia="Times New Roman"/>
                <w:szCs w:val="24"/>
                <w:lang w:val="en-US"/>
              </w:rPr>
              <w:t xml:space="preserve">As the result of </w:t>
            </w:r>
            <w:proofErr w:type="gramStart"/>
            <w:r w:rsidRPr="00941DA8">
              <w:rPr>
                <w:rFonts w:eastAsia="Times New Roman"/>
                <w:szCs w:val="24"/>
                <w:lang w:val="en-US"/>
              </w:rPr>
              <w:t>a</w:t>
            </w:r>
            <w:proofErr w:type="gramEnd"/>
            <w:r w:rsidRPr="00941DA8">
              <w:rPr>
                <w:rFonts w:eastAsia="Times New Roman"/>
                <w:szCs w:val="24"/>
                <w:lang w:val="en-US"/>
              </w:rPr>
              <w:t xml:space="preserve"> ISP the following information is available at Baltic transparency dashboard:</w:t>
            </w:r>
          </w:p>
        </w:tc>
        <w:tc>
          <w:tcPr>
            <w:tcW w:w="3760" w:type="dxa"/>
          </w:tcPr>
          <w:p w14:paraId="71F1CE35" w14:textId="23AC408F" w:rsidR="00422A2A" w:rsidRPr="00B206C8" w:rsidRDefault="00422A2A" w:rsidP="005A43AF">
            <w:pPr>
              <w:jc w:val="both"/>
              <w:rPr>
                <w:rFonts w:ascii="Times New Roman" w:hAnsi="Times New Roman" w:cs="Times New Roman"/>
                <w:sz w:val="24"/>
                <w:szCs w:val="24"/>
              </w:rPr>
            </w:pPr>
            <w:r w:rsidRPr="00941DA8">
              <w:rPr>
                <w:rFonts w:ascii="Times New Roman" w:hAnsi="Times New Roman" w:cs="Times New Roman"/>
                <w:sz w:val="24"/>
                <w:szCs w:val="24"/>
              </w:rPr>
              <w:t xml:space="preserve">Par katru ISP Baltijas </w:t>
            </w:r>
            <w:proofErr w:type="spellStart"/>
            <w:r w:rsidRPr="00B206C8">
              <w:rPr>
                <w:rFonts w:ascii="Times New Roman" w:hAnsi="Times New Roman" w:cs="Times New Roman"/>
                <w:sz w:val="24"/>
                <w:szCs w:val="24"/>
              </w:rPr>
              <w:t>pārredzamības</w:t>
            </w:r>
            <w:proofErr w:type="spellEnd"/>
            <w:r w:rsidRPr="00B206C8">
              <w:rPr>
                <w:rFonts w:ascii="Times New Roman" w:hAnsi="Times New Roman" w:cs="Times New Roman"/>
                <w:sz w:val="24"/>
                <w:szCs w:val="24"/>
              </w:rPr>
              <w:t xml:space="preserve"> platformā pieejama sekojoša informācija: </w:t>
            </w:r>
          </w:p>
          <w:p w14:paraId="3FD17F07" w14:textId="788DC5FF" w:rsidR="00422A2A" w:rsidRPr="00941DA8" w:rsidRDefault="00422A2A" w:rsidP="005A43AF">
            <w:pPr>
              <w:jc w:val="both"/>
              <w:rPr>
                <w:b/>
                <w:bCs/>
              </w:rPr>
            </w:pPr>
          </w:p>
        </w:tc>
      </w:tr>
      <w:tr w:rsidR="00F527BD" w14:paraId="3FE56560" w14:textId="77777777" w:rsidTr="00F527BD">
        <w:trPr>
          <w:trHeight w:val="509"/>
        </w:trPr>
        <w:tc>
          <w:tcPr>
            <w:tcW w:w="1276" w:type="dxa"/>
          </w:tcPr>
          <w:p w14:paraId="02FFF5BF"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7261E862" w14:textId="00882BAB" w:rsidR="00422A2A" w:rsidDel="004D4FC7"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balancing energy reference prices;</w:t>
            </w:r>
          </w:p>
        </w:tc>
        <w:tc>
          <w:tcPr>
            <w:tcW w:w="3760" w:type="dxa"/>
          </w:tcPr>
          <w:p w14:paraId="311CFB67" w14:textId="08C58382" w:rsidR="00422A2A" w:rsidRPr="0030041C" w:rsidRDefault="00422A2A" w:rsidP="005A43AF">
            <w:pPr>
              <w:tabs>
                <w:tab w:val="left" w:pos="709"/>
              </w:tabs>
              <w:jc w:val="both"/>
              <w:rPr>
                <w:rFonts w:ascii="Times New Roman" w:hAnsi="Times New Roman" w:cs="Times New Roman"/>
                <w:sz w:val="24"/>
                <w:szCs w:val="24"/>
              </w:rPr>
            </w:pPr>
            <w:r w:rsidRPr="0030041C">
              <w:rPr>
                <w:rFonts w:ascii="Times New Roman" w:hAnsi="Times New Roman" w:cs="Times New Roman"/>
                <w:sz w:val="24"/>
                <w:szCs w:val="24"/>
              </w:rPr>
              <w:t xml:space="preserve"> balansēšanas atsauces cenas (augšupvērsti un lejupvērsti);</w:t>
            </w:r>
          </w:p>
        </w:tc>
      </w:tr>
      <w:tr w:rsidR="00F527BD" w14:paraId="52E331CB" w14:textId="77777777" w:rsidTr="00F527BD">
        <w:trPr>
          <w:trHeight w:val="509"/>
        </w:trPr>
        <w:tc>
          <w:tcPr>
            <w:tcW w:w="1276" w:type="dxa"/>
          </w:tcPr>
          <w:p w14:paraId="3B9966E9"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5E6EEE3D" w14:textId="308363D3" w:rsidR="00422A2A" w:rsidRPr="000A2609" w:rsidDel="004D4FC7"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imbalance volumes;</w:t>
            </w:r>
          </w:p>
        </w:tc>
        <w:tc>
          <w:tcPr>
            <w:tcW w:w="3760" w:type="dxa"/>
          </w:tcPr>
          <w:p w14:paraId="2BDA60D6" w14:textId="77777777"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nebalansa</w:t>
            </w:r>
            <w:proofErr w:type="spellEnd"/>
            <w:r w:rsidRPr="0030041C">
              <w:rPr>
                <w:rFonts w:ascii="Times New Roman" w:hAnsi="Times New Roman" w:cs="Times New Roman"/>
                <w:sz w:val="24"/>
                <w:szCs w:val="24"/>
              </w:rPr>
              <w:t xml:space="preserve"> apjomi;</w:t>
            </w:r>
          </w:p>
          <w:p w14:paraId="60B6763F" w14:textId="77777777" w:rsidR="00422A2A" w:rsidRPr="0030041C" w:rsidRDefault="00422A2A" w:rsidP="005A43AF">
            <w:pPr>
              <w:ind w:left="340"/>
              <w:jc w:val="both"/>
              <w:rPr>
                <w:rFonts w:ascii="Times New Roman" w:hAnsi="Times New Roman" w:cs="Times New Roman"/>
                <w:sz w:val="24"/>
                <w:szCs w:val="24"/>
              </w:rPr>
            </w:pPr>
          </w:p>
        </w:tc>
      </w:tr>
      <w:tr w:rsidR="00F527BD" w14:paraId="44CE3FEB" w14:textId="77777777" w:rsidTr="00F527BD">
        <w:trPr>
          <w:trHeight w:val="509"/>
        </w:trPr>
        <w:tc>
          <w:tcPr>
            <w:tcW w:w="1276" w:type="dxa"/>
          </w:tcPr>
          <w:p w14:paraId="37AE4810"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70FA0997" w14:textId="070DCE41" w:rsidR="00422A2A" w:rsidRPr="000A2609" w:rsidDel="004D4FC7"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direction of system balancing;</w:t>
            </w:r>
          </w:p>
        </w:tc>
        <w:tc>
          <w:tcPr>
            <w:tcW w:w="3760" w:type="dxa"/>
          </w:tcPr>
          <w:p w14:paraId="434EE5AF" w14:textId="592C1299" w:rsidR="00422A2A" w:rsidRPr="0030041C" w:rsidRDefault="00422A2A" w:rsidP="005A43AF">
            <w:pPr>
              <w:jc w:val="both"/>
              <w:rPr>
                <w:rFonts w:ascii="Times New Roman" w:hAnsi="Times New Roman" w:cs="Times New Roman"/>
                <w:sz w:val="24"/>
                <w:szCs w:val="24"/>
              </w:rPr>
            </w:pPr>
            <w:r w:rsidRPr="0030041C">
              <w:rPr>
                <w:rFonts w:ascii="Times New Roman" w:hAnsi="Times New Roman" w:cs="Times New Roman"/>
                <w:sz w:val="24"/>
                <w:szCs w:val="24"/>
              </w:rPr>
              <w:t xml:space="preserve">sistēmas </w:t>
            </w:r>
            <w:proofErr w:type="spellStart"/>
            <w:r w:rsidRPr="0030041C">
              <w:rPr>
                <w:rFonts w:ascii="Times New Roman" w:hAnsi="Times New Roman" w:cs="Times New Roman"/>
                <w:sz w:val="24"/>
                <w:szCs w:val="24"/>
              </w:rPr>
              <w:t>nebalansa</w:t>
            </w:r>
            <w:proofErr w:type="spellEnd"/>
            <w:r w:rsidRPr="0030041C">
              <w:rPr>
                <w:rFonts w:ascii="Times New Roman" w:hAnsi="Times New Roman" w:cs="Times New Roman"/>
                <w:sz w:val="24"/>
                <w:szCs w:val="24"/>
              </w:rPr>
              <w:t xml:space="preserve"> virziens;</w:t>
            </w:r>
          </w:p>
        </w:tc>
      </w:tr>
      <w:tr w:rsidR="00F527BD" w14:paraId="69229581" w14:textId="77777777" w:rsidTr="00F527BD">
        <w:trPr>
          <w:trHeight w:val="509"/>
        </w:trPr>
        <w:tc>
          <w:tcPr>
            <w:tcW w:w="1276" w:type="dxa"/>
          </w:tcPr>
          <w:p w14:paraId="4EE2B983"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3776EFF1" w14:textId="340F6D59" w:rsidR="00422A2A" w:rsidDel="004D4FC7"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imbalance prices;</w:t>
            </w:r>
          </w:p>
        </w:tc>
        <w:tc>
          <w:tcPr>
            <w:tcW w:w="3760" w:type="dxa"/>
          </w:tcPr>
          <w:p w14:paraId="33E34CE9" w14:textId="6952E8D8" w:rsidR="00422A2A" w:rsidRPr="0030041C" w:rsidRDefault="00422A2A" w:rsidP="005A43AF">
            <w:pPr>
              <w:jc w:val="both"/>
              <w:rPr>
                <w:rFonts w:ascii="Times New Roman" w:hAnsi="Times New Roman" w:cs="Times New Roman"/>
                <w:sz w:val="24"/>
                <w:szCs w:val="24"/>
              </w:rPr>
            </w:pPr>
            <w:proofErr w:type="spellStart"/>
            <w:r w:rsidRPr="0030041C">
              <w:rPr>
                <w:rFonts w:ascii="Times New Roman" w:hAnsi="Times New Roman" w:cs="Times New Roman"/>
                <w:sz w:val="24"/>
                <w:szCs w:val="24"/>
              </w:rPr>
              <w:t>nebalansa</w:t>
            </w:r>
            <w:proofErr w:type="spellEnd"/>
            <w:r w:rsidRPr="0030041C">
              <w:rPr>
                <w:rFonts w:ascii="Times New Roman" w:hAnsi="Times New Roman" w:cs="Times New Roman"/>
                <w:sz w:val="24"/>
                <w:szCs w:val="24"/>
              </w:rPr>
              <w:t xml:space="preserve"> cenas;</w:t>
            </w:r>
          </w:p>
          <w:p w14:paraId="68DFB4A9" w14:textId="77777777" w:rsidR="00422A2A" w:rsidRDefault="00422A2A" w:rsidP="005A43AF">
            <w:pPr>
              <w:ind w:left="428" w:hanging="428"/>
              <w:jc w:val="both"/>
              <w:rPr>
                <w:rFonts w:ascii="Times New Roman" w:hAnsi="Times New Roman" w:cs="Times New Roman"/>
                <w:sz w:val="24"/>
                <w:szCs w:val="24"/>
              </w:rPr>
            </w:pPr>
          </w:p>
        </w:tc>
      </w:tr>
      <w:tr w:rsidR="00F527BD" w14:paraId="25C2CD7B" w14:textId="77777777" w:rsidTr="00F527BD">
        <w:trPr>
          <w:trHeight w:val="509"/>
        </w:trPr>
        <w:tc>
          <w:tcPr>
            <w:tcW w:w="1276" w:type="dxa"/>
          </w:tcPr>
          <w:p w14:paraId="20C18946"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6ECE5518" w14:textId="6AF3A9AF" w:rsidR="00422A2A" w:rsidDel="004D4FC7"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neutrality component.</w:t>
            </w:r>
          </w:p>
        </w:tc>
        <w:tc>
          <w:tcPr>
            <w:tcW w:w="3760" w:type="dxa"/>
          </w:tcPr>
          <w:p w14:paraId="7CA374BF" w14:textId="765DC112" w:rsidR="00422A2A" w:rsidRDefault="00422A2A" w:rsidP="005A43AF">
            <w:pPr>
              <w:ind w:left="428" w:hanging="428"/>
              <w:jc w:val="both"/>
              <w:rPr>
                <w:rFonts w:ascii="Times New Roman" w:hAnsi="Times New Roman" w:cs="Times New Roman"/>
                <w:sz w:val="24"/>
                <w:szCs w:val="24"/>
              </w:rPr>
            </w:pPr>
            <w:r w:rsidRPr="005F4D99">
              <w:rPr>
                <w:rFonts w:ascii="Times New Roman" w:hAnsi="Times New Roman" w:cs="Times New Roman"/>
                <w:sz w:val="24"/>
                <w:szCs w:val="24"/>
              </w:rPr>
              <w:t>neitralitātes komponente</w:t>
            </w:r>
          </w:p>
        </w:tc>
      </w:tr>
      <w:tr w:rsidR="00F527BD" w14:paraId="5001BE8F" w14:textId="77777777" w:rsidTr="00F527BD">
        <w:trPr>
          <w:trHeight w:val="1626"/>
        </w:trPr>
        <w:tc>
          <w:tcPr>
            <w:tcW w:w="1276" w:type="dxa"/>
          </w:tcPr>
          <w:p w14:paraId="389B6B80" w14:textId="77777777" w:rsidR="00422A2A" w:rsidRDefault="00422A2A" w:rsidP="00F527BD">
            <w:pPr>
              <w:pStyle w:val="Point0number"/>
              <w:numPr>
                <w:ilvl w:val="1"/>
                <w:numId w:val="91"/>
              </w:numPr>
              <w:spacing w:before="0" w:after="0"/>
              <w:rPr>
                <w:rFonts w:eastAsia="Times New Roman"/>
                <w:szCs w:val="24"/>
                <w:lang w:val="en-US"/>
              </w:rPr>
            </w:pPr>
          </w:p>
        </w:tc>
        <w:tc>
          <w:tcPr>
            <w:tcW w:w="3890" w:type="dxa"/>
          </w:tcPr>
          <w:p w14:paraId="50D2002B" w14:textId="15CBD66C" w:rsidR="00422A2A" w:rsidRPr="00941DA8" w:rsidRDefault="00F527BD" w:rsidP="00F527BD">
            <w:pPr>
              <w:pStyle w:val="Point0number"/>
              <w:numPr>
                <w:ilvl w:val="0"/>
                <w:numId w:val="0"/>
              </w:numPr>
              <w:spacing w:before="0" w:after="0"/>
              <w:ind w:left="32"/>
              <w:rPr>
                <w:rFonts w:eastAsia="Times New Roman"/>
                <w:szCs w:val="24"/>
                <w:lang w:val="en-US"/>
              </w:rPr>
            </w:pPr>
            <w:r>
              <w:rPr>
                <w:rFonts w:eastAsia="Times New Roman"/>
                <w:szCs w:val="24"/>
                <w:lang w:val="en-US"/>
              </w:rPr>
              <w:t>F</w:t>
            </w:r>
            <w:r w:rsidR="00422A2A">
              <w:rPr>
                <w:rFonts w:eastAsia="Times New Roman"/>
                <w:szCs w:val="24"/>
                <w:lang w:val="en-US"/>
              </w:rPr>
              <w:t>o</w:t>
            </w:r>
            <w:r>
              <w:rPr>
                <w:rFonts w:eastAsia="Times New Roman"/>
                <w:szCs w:val="24"/>
                <w:lang w:val="en-US"/>
              </w:rPr>
              <w:t>r</w:t>
            </w:r>
            <w:r w:rsidR="00422A2A">
              <w:rPr>
                <w:rFonts w:eastAsia="Times New Roman"/>
                <w:szCs w:val="24"/>
                <w:lang w:val="en-US"/>
              </w:rPr>
              <w:t xml:space="preserve"> the </w:t>
            </w:r>
            <w:r>
              <w:rPr>
                <w:rFonts w:eastAsia="Times New Roman"/>
                <w:szCs w:val="24"/>
                <w:lang w:val="en-US"/>
              </w:rPr>
              <w:t>validity</w:t>
            </w:r>
            <w:r w:rsidR="00422A2A">
              <w:rPr>
                <w:rFonts w:eastAsia="Times New Roman"/>
                <w:szCs w:val="24"/>
                <w:lang w:val="en-US"/>
              </w:rPr>
              <w:t xml:space="preserve"> period of each bid </w:t>
            </w:r>
            <w:proofErr w:type="gramStart"/>
            <w:r w:rsidR="00422A2A">
              <w:rPr>
                <w:rFonts w:eastAsia="Times New Roman"/>
                <w:szCs w:val="24"/>
                <w:lang w:val="en-US"/>
              </w:rPr>
              <w:t xml:space="preserve">of </w:t>
            </w:r>
            <w:r w:rsidR="00422A2A" w:rsidRPr="00941DA8">
              <w:rPr>
                <w:rFonts w:eastAsia="Times New Roman"/>
                <w:szCs w:val="24"/>
                <w:lang w:val="en-US"/>
              </w:rPr>
              <w:t xml:space="preserve"> </w:t>
            </w:r>
            <w:r w:rsidR="00422A2A">
              <w:rPr>
                <w:rFonts w:eastAsia="Times New Roman"/>
                <w:szCs w:val="24"/>
                <w:lang w:val="en-US"/>
              </w:rPr>
              <w:t>each</w:t>
            </w:r>
            <w:proofErr w:type="gramEnd"/>
            <w:r w:rsidR="00422A2A">
              <w:rPr>
                <w:rFonts w:eastAsia="Times New Roman"/>
                <w:szCs w:val="24"/>
                <w:lang w:val="en-US"/>
              </w:rPr>
              <w:t xml:space="preserve"> </w:t>
            </w:r>
            <w:proofErr w:type="spellStart"/>
            <w:r w:rsidR="00422A2A">
              <w:rPr>
                <w:rFonts w:eastAsia="Times New Roman"/>
                <w:szCs w:val="24"/>
                <w:lang w:val="en-US"/>
              </w:rPr>
              <w:t>mFRR</w:t>
            </w:r>
            <w:proofErr w:type="spellEnd"/>
            <w:r w:rsidR="00422A2A" w:rsidRPr="00941DA8">
              <w:rPr>
                <w:rFonts w:eastAsia="Times New Roman"/>
                <w:szCs w:val="24"/>
                <w:lang w:val="en-US"/>
              </w:rPr>
              <w:t xml:space="preserve"> </w:t>
            </w:r>
            <w:r w:rsidR="00422A2A" w:rsidRPr="00941DA8">
              <w:rPr>
                <w:rFonts w:eastAsia="Times New Roman"/>
                <w:szCs w:val="24"/>
                <w:lang w:val="en-US"/>
              </w:rPr>
              <w:t xml:space="preserve">MTU </w:t>
            </w:r>
            <w:r w:rsidR="00422A2A">
              <w:rPr>
                <w:rFonts w:eastAsia="Times New Roman"/>
                <w:szCs w:val="24"/>
                <w:lang w:val="en-US"/>
              </w:rPr>
              <w:t xml:space="preserve">and each </w:t>
            </w:r>
            <w:proofErr w:type="spellStart"/>
            <w:r w:rsidR="00422A2A">
              <w:rPr>
                <w:rFonts w:eastAsia="Times New Roman"/>
                <w:szCs w:val="24"/>
                <w:lang w:val="en-US"/>
              </w:rPr>
              <w:t>aFR</w:t>
            </w:r>
            <w:r>
              <w:rPr>
                <w:rFonts w:eastAsia="Times New Roman"/>
                <w:szCs w:val="24"/>
                <w:lang w:val="en-US"/>
              </w:rPr>
              <w:t>R</w:t>
            </w:r>
            <w:proofErr w:type="spellEnd"/>
            <w:r w:rsidR="00422A2A">
              <w:rPr>
                <w:rFonts w:eastAsia="Times New Roman"/>
                <w:szCs w:val="24"/>
                <w:lang w:val="en-US"/>
              </w:rPr>
              <w:t xml:space="preserve"> MTU </w:t>
            </w:r>
            <w:r w:rsidR="00422A2A" w:rsidRPr="00941DA8">
              <w:rPr>
                <w:rFonts w:eastAsia="Times New Roman"/>
                <w:szCs w:val="24"/>
                <w:lang w:val="en-US"/>
              </w:rPr>
              <w:t>the following information is available at Baltic transparency dashboard:</w:t>
            </w:r>
          </w:p>
        </w:tc>
        <w:tc>
          <w:tcPr>
            <w:tcW w:w="3760" w:type="dxa"/>
          </w:tcPr>
          <w:p w14:paraId="235D5E92" w14:textId="3E63C44F" w:rsidR="00422A2A" w:rsidRPr="0030041C" w:rsidRDefault="00422A2A" w:rsidP="005A43AF">
            <w:pPr>
              <w:jc w:val="both"/>
              <w:rPr>
                <w:rFonts w:ascii="Times New Roman" w:hAnsi="Times New Roman" w:cs="Times New Roman"/>
                <w:b/>
                <w:bCs/>
                <w:sz w:val="24"/>
                <w:szCs w:val="24"/>
              </w:rPr>
            </w:pPr>
            <w:r w:rsidRPr="00941DA8">
              <w:rPr>
                <w:rFonts w:ascii="Times New Roman" w:hAnsi="Times New Roman" w:cs="Times New Roman"/>
                <w:sz w:val="24"/>
                <w:szCs w:val="24"/>
              </w:rPr>
              <w:t xml:space="preserve">Par katru </w:t>
            </w:r>
            <w:proofErr w:type="spellStart"/>
            <w:r>
              <w:rPr>
                <w:rFonts w:ascii="Times New Roman" w:hAnsi="Times New Roman" w:cs="Times New Roman"/>
                <w:sz w:val="24"/>
                <w:szCs w:val="24"/>
              </w:rPr>
              <w:t>mFRR</w:t>
            </w:r>
            <w:proofErr w:type="spellEnd"/>
            <w:r>
              <w:rPr>
                <w:rFonts w:ascii="Times New Roman" w:hAnsi="Times New Roman" w:cs="Times New Roman"/>
                <w:sz w:val="24"/>
                <w:szCs w:val="24"/>
              </w:rPr>
              <w:t xml:space="preserve"> </w:t>
            </w:r>
            <w:r w:rsidRPr="00941DA8">
              <w:rPr>
                <w:rFonts w:ascii="Times New Roman" w:hAnsi="Times New Roman" w:cs="Times New Roman"/>
                <w:sz w:val="24"/>
                <w:szCs w:val="24"/>
              </w:rPr>
              <w:t>balansēšanas tirgus MTU</w:t>
            </w:r>
            <w:r>
              <w:rPr>
                <w:rFonts w:ascii="Times New Roman" w:hAnsi="Times New Roman" w:cs="Times New Roman"/>
                <w:sz w:val="24"/>
                <w:szCs w:val="24"/>
              </w:rPr>
              <w:t xml:space="preserve"> un katru </w:t>
            </w:r>
            <w:proofErr w:type="spellStart"/>
            <w:r>
              <w:rPr>
                <w:rFonts w:ascii="Times New Roman" w:hAnsi="Times New Roman" w:cs="Times New Roman"/>
                <w:sz w:val="24"/>
                <w:szCs w:val="24"/>
              </w:rPr>
              <w:t>aFRR</w:t>
            </w:r>
            <w:proofErr w:type="spellEnd"/>
            <w:r>
              <w:rPr>
                <w:rFonts w:ascii="Times New Roman" w:hAnsi="Times New Roman" w:cs="Times New Roman"/>
                <w:sz w:val="24"/>
                <w:szCs w:val="24"/>
              </w:rPr>
              <w:t xml:space="preserve"> solījumu derīguma periodu</w:t>
            </w:r>
            <w:r w:rsidRPr="00941DA8">
              <w:rPr>
                <w:rFonts w:ascii="Times New Roman" w:hAnsi="Times New Roman" w:cs="Times New Roman"/>
                <w:sz w:val="24"/>
                <w:szCs w:val="24"/>
              </w:rPr>
              <w:t xml:space="preserve"> Baltijas </w:t>
            </w:r>
            <w:proofErr w:type="spellStart"/>
            <w:r w:rsidRPr="00941DA8">
              <w:rPr>
                <w:rFonts w:ascii="Times New Roman" w:hAnsi="Times New Roman" w:cs="Times New Roman"/>
                <w:sz w:val="24"/>
                <w:szCs w:val="24"/>
              </w:rPr>
              <w:t>pārredzamības</w:t>
            </w:r>
            <w:proofErr w:type="spellEnd"/>
            <w:r w:rsidRPr="00941DA8">
              <w:rPr>
                <w:rFonts w:ascii="Times New Roman" w:hAnsi="Times New Roman" w:cs="Times New Roman"/>
                <w:sz w:val="24"/>
                <w:szCs w:val="24"/>
              </w:rPr>
              <w:t xml:space="preserve"> platformā pieejama sekojoša informācija:</w:t>
            </w:r>
          </w:p>
        </w:tc>
      </w:tr>
      <w:tr w:rsidR="00F527BD" w14:paraId="33DF872F" w14:textId="77777777" w:rsidTr="00F527BD">
        <w:trPr>
          <w:trHeight w:val="841"/>
        </w:trPr>
        <w:tc>
          <w:tcPr>
            <w:tcW w:w="1276" w:type="dxa"/>
          </w:tcPr>
          <w:p w14:paraId="3B578D43"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040F499A" w14:textId="3D77E34B" w:rsidR="00422A2A" w:rsidRPr="00D355A7" w:rsidDel="000A2609"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 xml:space="preserve">the volumes of offered aggregated balancing energy bids (upward </w:t>
            </w:r>
            <w:r w:rsidRPr="005B3B26">
              <w:rPr>
                <w:rFonts w:eastAsia="Times New Roman"/>
                <w:szCs w:val="24"/>
                <w:lang w:val="en-US"/>
              </w:rPr>
              <w:t>and downward):</w:t>
            </w:r>
          </w:p>
        </w:tc>
        <w:tc>
          <w:tcPr>
            <w:tcW w:w="3760" w:type="dxa"/>
          </w:tcPr>
          <w:p w14:paraId="59873A97" w14:textId="091BC9C6" w:rsidR="00422A2A" w:rsidRDefault="00422A2A" w:rsidP="005A43AF">
            <w:pPr>
              <w:ind w:left="3"/>
              <w:jc w:val="both"/>
              <w:rPr>
                <w:rFonts w:ascii="Times New Roman" w:hAnsi="Times New Roman" w:cs="Times New Roman"/>
                <w:sz w:val="24"/>
                <w:szCs w:val="24"/>
              </w:rPr>
            </w:pPr>
            <w:proofErr w:type="spellStart"/>
            <w:r w:rsidRPr="00B410ED">
              <w:rPr>
                <w:rFonts w:ascii="Times New Roman" w:hAnsi="Times New Roman" w:cs="Times New Roman"/>
                <w:sz w:val="24"/>
                <w:szCs w:val="24"/>
              </w:rPr>
              <w:t>agregēti</w:t>
            </w:r>
            <w:proofErr w:type="spellEnd"/>
            <w:r w:rsidRPr="00B410ED">
              <w:rPr>
                <w:rFonts w:ascii="Times New Roman" w:hAnsi="Times New Roman" w:cs="Times New Roman"/>
                <w:sz w:val="24"/>
                <w:szCs w:val="24"/>
              </w:rPr>
              <w:t xml:space="preserve"> iesniegto regulēšanas produkta solījumu apjomi (augšupvērsti un lejupvērsti):</w:t>
            </w:r>
          </w:p>
        </w:tc>
      </w:tr>
      <w:tr w:rsidR="00F527BD" w14:paraId="56044040" w14:textId="77777777" w:rsidTr="00F527BD">
        <w:trPr>
          <w:trHeight w:val="697"/>
        </w:trPr>
        <w:tc>
          <w:tcPr>
            <w:tcW w:w="1276" w:type="dxa"/>
          </w:tcPr>
          <w:p w14:paraId="44DCCD5A" w14:textId="77777777" w:rsidR="00422A2A" w:rsidRPr="005B3B26" w:rsidRDefault="00422A2A" w:rsidP="00F527BD">
            <w:pPr>
              <w:pStyle w:val="Point0number"/>
              <w:numPr>
                <w:ilvl w:val="2"/>
                <w:numId w:val="91"/>
              </w:numPr>
              <w:spacing w:before="0" w:after="0"/>
              <w:rPr>
                <w:rFonts w:eastAsia="Times New Roman"/>
                <w:szCs w:val="24"/>
                <w:lang w:val="en-US"/>
              </w:rPr>
            </w:pPr>
          </w:p>
        </w:tc>
        <w:tc>
          <w:tcPr>
            <w:tcW w:w="3890" w:type="dxa"/>
          </w:tcPr>
          <w:p w14:paraId="2151E5E0" w14:textId="28D31517" w:rsidR="00422A2A" w:rsidRPr="00D355A7" w:rsidDel="000A2609" w:rsidRDefault="00422A2A" w:rsidP="00F527BD">
            <w:pPr>
              <w:pStyle w:val="Point0number"/>
              <w:numPr>
                <w:ilvl w:val="0"/>
                <w:numId w:val="0"/>
              </w:numPr>
              <w:spacing w:before="0" w:after="0"/>
              <w:rPr>
                <w:rFonts w:eastAsia="Times New Roman"/>
                <w:szCs w:val="24"/>
                <w:lang w:val="en-US"/>
              </w:rPr>
            </w:pPr>
            <w:proofErr w:type="spellStart"/>
            <w:r w:rsidRPr="005B3B26">
              <w:rPr>
                <w:rFonts w:eastAsia="Times New Roman"/>
                <w:szCs w:val="24"/>
                <w:lang w:val="en-US"/>
              </w:rPr>
              <w:t>mF</w:t>
            </w:r>
            <w:r>
              <w:rPr>
                <w:rFonts w:eastAsia="Times New Roman"/>
                <w:szCs w:val="24"/>
                <w:lang w:val="en-US"/>
              </w:rPr>
              <w:t>RR</w:t>
            </w:r>
            <w:proofErr w:type="spellEnd"/>
            <w:r>
              <w:rPr>
                <w:rFonts w:eastAsia="Times New Roman"/>
                <w:szCs w:val="24"/>
                <w:lang w:val="en-US"/>
              </w:rPr>
              <w:t xml:space="preserve"> standard product bid volumes</w:t>
            </w:r>
            <w:r w:rsidRPr="005B3B26">
              <w:rPr>
                <w:rFonts w:eastAsia="Times New Roman"/>
                <w:szCs w:val="24"/>
                <w:lang w:val="en-US"/>
              </w:rPr>
              <w:t>;</w:t>
            </w:r>
          </w:p>
        </w:tc>
        <w:tc>
          <w:tcPr>
            <w:tcW w:w="3760" w:type="dxa"/>
          </w:tcPr>
          <w:p w14:paraId="0359DEDD" w14:textId="5396CBD0" w:rsidR="00422A2A" w:rsidRPr="00B410ED" w:rsidRDefault="00422A2A" w:rsidP="005A43AF">
            <w:pPr>
              <w:ind w:left="3"/>
              <w:jc w:val="both"/>
              <w:rPr>
                <w:rFonts w:ascii="Times New Roman" w:hAnsi="Times New Roman" w:cs="Times New Roman"/>
                <w:sz w:val="24"/>
                <w:szCs w:val="24"/>
              </w:rPr>
            </w:pPr>
            <w:proofErr w:type="spellStart"/>
            <w:r w:rsidRPr="00B410ED">
              <w:rPr>
                <w:rFonts w:ascii="Times New Roman" w:hAnsi="Times New Roman" w:cs="Times New Roman"/>
                <w:sz w:val="24"/>
                <w:szCs w:val="24"/>
              </w:rPr>
              <w:t>mFRR</w:t>
            </w:r>
            <w:proofErr w:type="spellEnd"/>
            <w:r w:rsidRPr="00B410ED">
              <w:rPr>
                <w:rFonts w:ascii="Times New Roman" w:hAnsi="Times New Roman" w:cs="Times New Roman"/>
                <w:sz w:val="24"/>
                <w:szCs w:val="24"/>
              </w:rPr>
              <w:t xml:space="preserve"> standarta produkta piedāvājumu apjomi;</w:t>
            </w:r>
          </w:p>
          <w:p w14:paraId="5DEC8702" w14:textId="3081466D" w:rsidR="00422A2A" w:rsidRDefault="00422A2A" w:rsidP="005A43AF">
            <w:pPr>
              <w:ind w:left="570" w:hanging="567"/>
              <w:jc w:val="both"/>
              <w:rPr>
                <w:rFonts w:ascii="Times New Roman" w:hAnsi="Times New Roman" w:cs="Times New Roman"/>
                <w:sz w:val="24"/>
                <w:szCs w:val="24"/>
              </w:rPr>
            </w:pPr>
          </w:p>
        </w:tc>
      </w:tr>
      <w:tr w:rsidR="00F527BD" w14:paraId="77EBE33F" w14:textId="77777777" w:rsidTr="00F527BD">
        <w:trPr>
          <w:trHeight w:val="722"/>
        </w:trPr>
        <w:tc>
          <w:tcPr>
            <w:tcW w:w="1276" w:type="dxa"/>
          </w:tcPr>
          <w:p w14:paraId="61D0E799" w14:textId="77777777" w:rsidR="00422A2A" w:rsidRPr="005B3B26" w:rsidRDefault="00422A2A" w:rsidP="00F527BD">
            <w:pPr>
              <w:pStyle w:val="Point0number"/>
              <w:numPr>
                <w:ilvl w:val="2"/>
                <w:numId w:val="91"/>
              </w:numPr>
              <w:spacing w:before="0" w:after="0"/>
              <w:rPr>
                <w:rFonts w:eastAsia="Times New Roman"/>
                <w:szCs w:val="24"/>
                <w:lang w:val="en-US"/>
              </w:rPr>
            </w:pPr>
          </w:p>
        </w:tc>
        <w:tc>
          <w:tcPr>
            <w:tcW w:w="3890" w:type="dxa"/>
          </w:tcPr>
          <w:p w14:paraId="0CD87286" w14:textId="6B9DBEEF" w:rsidR="00422A2A" w:rsidRPr="005B3B26" w:rsidRDefault="00F527BD" w:rsidP="00F527BD">
            <w:pPr>
              <w:pStyle w:val="Point0number"/>
              <w:numPr>
                <w:ilvl w:val="0"/>
                <w:numId w:val="0"/>
              </w:numPr>
              <w:spacing w:before="0" w:after="0"/>
              <w:rPr>
                <w:rFonts w:eastAsia="Times New Roman"/>
                <w:szCs w:val="24"/>
                <w:lang w:val="en-US"/>
              </w:rPr>
            </w:pPr>
            <w:r>
              <w:rPr>
                <w:rFonts w:eastAsia="Times New Roman"/>
                <w:szCs w:val="24"/>
                <w:lang w:val="en-US"/>
              </w:rPr>
              <w:t>l</w:t>
            </w:r>
            <w:r w:rsidR="00422A2A" w:rsidRPr="005B3B26">
              <w:rPr>
                <w:rFonts w:eastAsia="Times New Roman"/>
                <w:szCs w:val="24"/>
                <w:lang w:val="en-US"/>
              </w:rPr>
              <w:t xml:space="preserve">ocal </w:t>
            </w:r>
            <w:proofErr w:type="spellStart"/>
            <w:r w:rsidR="00422A2A" w:rsidRPr="005B3B26">
              <w:rPr>
                <w:rFonts w:eastAsia="Times New Roman"/>
                <w:szCs w:val="24"/>
                <w:lang w:val="en-US"/>
              </w:rPr>
              <w:t>mFRR</w:t>
            </w:r>
            <w:proofErr w:type="spellEnd"/>
            <w:r w:rsidR="00422A2A" w:rsidRPr="005B3B26">
              <w:rPr>
                <w:rFonts w:eastAsia="Times New Roman"/>
                <w:szCs w:val="24"/>
                <w:lang w:val="en-US"/>
              </w:rPr>
              <w:t xml:space="preserve"> (ER) bid volumes;</w:t>
            </w:r>
          </w:p>
          <w:p w14:paraId="7C21BFFF" w14:textId="31275CC7" w:rsidR="00422A2A" w:rsidDel="000A2609" w:rsidRDefault="00422A2A" w:rsidP="005A43AF">
            <w:pPr>
              <w:pStyle w:val="Point0number"/>
              <w:numPr>
                <w:ilvl w:val="0"/>
                <w:numId w:val="0"/>
              </w:numPr>
              <w:spacing w:before="0" w:after="0"/>
              <w:ind w:left="312"/>
              <w:rPr>
                <w:rFonts w:eastAsia="Times New Roman"/>
                <w:szCs w:val="24"/>
                <w:lang w:val="en-US"/>
              </w:rPr>
            </w:pPr>
          </w:p>
        </w:tc>
        <w:tc>
          <w:tcPr>
            <w:tcW w:w="3760" w:type="dxa"/>
          </w:tcPr>
          <w:p w14:paraId="4E401A2E" w14:textId="25E2E3F1" w:rsidR="00422A2A" w:rsidRPr="0030041C" w:rsidRDefault="00422A2A" w:rsidP="005A43AF">
            <w:pPr>
              <w:jc w:val="both"/>
              <w:rPr>
                <w:rFonts w:asciiTheme="majorBidi" w:eastAsia="Times New Roman" w:hAnsiTheme="majorBidi" w:cstheme="majorBidi"/>
                <w:szCs w:val="24"/>
                <w:lang w:val="en-US"/>
              </w:rPr>
            </w:pPr>
            <w:proofErr w:type="spellStart"/>
            <w:r w:rsidRPr="0030041C">
              <w:rPr>
                <w:rFonts w:asciiTheme="majorBidi" w:eastAsia="Times New Roman" w:hAnsiTheme="majorBidi" w:cstheme="majorBidi"/>
                <w:sz w:val="24"/>
                <w:szCs w:val="24"/>
                <w:lang w:val="en-US"/>
              </w:rPr>
              <w:t>lokālo</w:t>
            </w:r>
            <w:proofErr w:type="spellEnd"/>
            <w:r w:rsidRPr="0030041C">
              <w:rPr>
                <w:rFonts w:asciiTheme="majorBidi" w:eastAsia="Times New Roman" w:hAnsiTheme="majorBidi" w:cstheme="majorBidi"/>
                <w:sz w:val="24"/>
                <w:szCs w:val="24"/>
                <w:lang w:val="en-US"/>
              </w:rPr>
              <w:t xml:space="preserve"> </w:t>
            </w:r>
            <w:proofErr w:type="spellStart"/>
            <w:r w:rsidRPr="0030041C">
              <w:rPr>
                <w:rFonts w:asciiTheme="majorBidi" w:eastAsia="Times New Roman" w:hAnsiTheme="majorBidi" w:cstheme="majorBidi"/>
                <w:sz w:val="24"/>
                <w:szCs w:val="24"/>
                <w:lang w:val="en-US"/>
              </w:rPr>
              <w:t>mFRR</w:t>
            </w:r>
            <w:proofErr w:type="spellEnd"/>
            <w:r w:rsidRPr="0030041C">
              <w:rPr>
                <w:rFonts w:asciiTheme="majorBidi" w:eastAsia="Times New Roman" w:hAnsiTheme="majorBidi" w:cstheme="majorBidi"/>
                <w:sz w:val="24"/>
                <w:szCs w:val="24"/>
                <w:lang w:val="en-US"/>
              </w:rPr>
              <w:t xml:space="preserve"> (ER) </w:t>
            </w:r>
            <w:proofErr w:type="spellStart"/>
            <w:r w:rsidRPr="0030041C">
              <w:rPr>
                <w:rFonts w:asciiTheme="majorBidi" w:eastAsia="Times New Roman" w:hAnsiTheme="majorBidi" w:cstheme="majorBidi"/>
                <w:sz w:val="24"/>
                <w:szCs w:val="24"/>
                <w:lang w:val="en-US"/>
              </w:rPr>
              <w:t>piedāvājumu</w:t>
            </w:r>
            <w:proofErr w:type="spellEnd"/>
            <w:r w:rsidRPr="0030041C">
              <w:rPr>
                <w:rFonts w:asciiTheme="majorBidi" w:eastAsia="Times New Roman" w:hAnsiTheme="majorBidi" w:cstheme="majorBidi"/>
                <w:sz w:val="24"/>
                <w:szCs w:val="24"/>
                <w:lang w:val="en-US"/>
              </w:rPr>
              <w:t xml:space="preserve"> </w:t>
            </w:r>
            <w:proofErr w:type="spellStart"/>
            <w:r w:rsidRPr="0030041C">
              <w:rPr>
                <w:rFonts w:asciiTheme="majorBidi" w:eastAsia="Times New Roman" w:hAnsiTheme="majorBidi" w:cstheme="majorBidi"/>
                <w:sz w:val="24"/>
                <w:szCs w:val="24"/>
                <w:lang w:val="en-US"/>
              </w:rPr>
              <w:t>apjomi</w:t>
            </w:r>
            <w:proofErr w:type="spellEnd"/>
            <w:r w:rsidRPr="0030041C">
              <w:rPr>
                <w:rFonts w:asciiTheme="majorBidi" w:eastAsia="Times New Roman" w:hAnsiTheme="majorBidi" w:cstheme="majorBidi"/>
                <w:sz w:val="24"/>
                <w:szCs w:val="24"/>
                <w:lang w:val="en-US"/>
              </w:rPr>
              <w:t>;</w:t>
            </w:r>
          </w:p>
          <w:p w14:paraId="35CF974B" w14:textId="10EF14B1" w:rsidR="00422A2A" w:rsidRDefault="00422A2A" w:rsidP="005A43AF">
            <w:pPr>
              <w:jc w:val="both"/>
              <w:rPr>
                <w:rFonts w:ascii="Times New Roman" w:hAnsi="Times New Roman" w:cs="Times New Roman"/>
                <w:sz w:val="24"/>
                <w:szCs w:val="24"/>
              </w:rPr>
            </w:pPr>
          </w:p>
        </w:tc>
      </w:tr>
      <w:tr w:rsidR="00F527BD" w14:paraId="06061DE3" w14:textId="77777777" w:rsidTr="00F527BD">
        <w:trPr>
          <w:trHeight w:val="720"/>
        </w:trPr>
        <w:tc>
          <w:tcPr>
            <w:tcW w:w="1276" w:type="dxa"/>
          </w:tcPr>
          <w:p w14:paraId="2A5B86B2" w14:textId="77777777" w:rsidR="00422A2A" w:rsidRPr="005B3B26" w:rsidRDefault="00422A2A" w:rsidP="00F527BD">
            <w:pPr>
              <w:pStyle w:val="Point0number"/>
              <w:numPr>
                <w:ilvl w:val="2"/>
                <w:numId w:val="91"/>
              </w:numPr>
              <w:spacing w:before="0" w:after="0"/>
              <w:rPr>
                <w:rFonts w:eastAsia="Times New Roman"/>
                <w:szCs w:val="24"/>
                <w:lang w:val="en-US"/>
              </w:rPr>
            </w:pPr>
          </w:p>
        </w:tc>
        <w:tc>
          <w:tcPr>
            <w:tcW w:w="3890" w:type="dxa"/>
          </w:tcPr>
          <w:p w14:paraId="313C6B32" w14:textId="2651C767" w:rsidR="00422A2A" w:rsidRPr="005B3B26" w:rsidRDefault="00422A2A" w:rsidP="00F527BD">
            <w:pPr>
              <w:pStyle w:val="Point0number"/>
              <w:numPr>
                <w:ilvl w:val="0"/>
                <w:numId w:val="0"/>
              </w:numPr>
              <w:spacing w:before="0" w:after="0"/>
              <w:rPr>
                <w:rFonts w:eastAsia="Times New Roman"/>
                <w:szCs w:val="24"/>
                <w:lang w:val="en-US"/>
              </w:rPr>
            </w:pPr>
            <w:r w:rsidRPr="005B3B26">
              <w:rPr>
                <w:rFonts w:eastAsia="Times New Roman"/>
                <w:szCs w:val="24"/>
                <w:lang w:val="en-US"/>
              </w:rPr>
              <w:t xml:space="preserve">unavailable </w:t>
            </w:r>
            <w:proofErr w:type="spellStart"/>
            <w:r w:rsidRPr="005B3B26">
              <w:rPr>
                <w:rFonts w:eastAsia="Times New Roman"/>
                <w:szCs w:val="24"/>
                <w:lang w:val="en-US"/>
              </w:rPr>
              <w:t>mFRR</w:t>
            </w:r>
            <w:proofErr w:type="spellEnd"/>
            <w:r w:rsidRPr="005B3B26">
              <w:rPr>
                <w:rFonts w:eastAsia="Times New Roman"/>
                <w:szCs w:val="24"/>
                <w:lang w:val="en-US"/>
              </w:rPr>
              <w:t xml:space="preserve"> bid volumes;</w:t>
            </w:r>
          </w:p>
          <w:p w14:paraId="2F79E146" w14:textId="18C67255" w:rsidR="00422A2A" w:rsidDel="000A2609" w:rsidRDefault="00422A2A" w:rsidP="005A43AF">
            <w:pPr>
              <w:pStyle w:val="Point0number"/>
              <w:numPr>
                <w:ilvl w:val="0"/>
                <w:numId w:val="0"/>
              </w:numPr>
              <w:spacing w:before="0" w:after="0"/>
              <w:ind w:left="850" w:hanging="850"/>
              <w:rPr>
                <w:rFonts w:eastAsia="Times New Roman"/>
                <w:szCs w:val="24"/>
                <w:lang w:val="en-US"/>
              </w:rPr>
            </w:pPr>
          </w:p>
        </w:tc>
        <w:tc>
          <w:tcPr>
            <w:tcW w:w="3760" w:type="dxa"/>
          </w:tcPr>
          <w:p w14:paraId="2DF5D8B0" w14:textId="04E1A320" w:rsidR="00422A2A" w:rsidRPr="00B410ED" w:rsidRDefault="00422A2A" w:rsidP="005A43AF">
            <w:pPr>
              <w:ind w:firstLine="3"/>
              <w:jc w:val="both"/>
              <w:rPr>
                <w:rFonts w:ascii="Times New Roman" w:hAnsi="Times New Roman" w:cs="Times New Roman"/>
                <w:sz w:val="24"/>
                <w:szCs w:val="24"/>
              </w:rPr>
            </w:pPr>
            <w:r w:rsidRPr="00B410ED">
              <w:rPr>
                <w:rFonts w:ascii="Times New Roman" w:hAnsi="Times New Roman" w:cs="Times New Roman"/>
                <w:sz w:val="24"/>
                <w:szCs w:val="24"/>
              </w:rPr>
              <w:t xml:space="preserve">nepieejamie </w:t>
            </w:r>
            <w:proofErr w:type="spellStart"/>
            <w:r w:rsidRPr="00B410ED">
              <w:rPr>
                <w:rFonts w:ascii="Times New Roman" w:hAnsi="Times New Roman" w:cs="Times New Roman"/>
                <w:sz w:val="24"/>
                <w:szCs w:val="24"/>
              </w:rPr>
              <w:t>mFRR</w:t>
            </w:r>
            <w:proofErr w:type="spellEnd"/>
            <w:r w:rsidRPr="00B410ED">
              <w:rPr>
                <w:rFonts w:ascii="Times New Roman" w:hAnsi="Times New Roman" w:cs="Times New Roman"/>
                <w:sz w:val="24"/>
                <w:szCs w:val="24"/>
              </w:rPr>
              <w:t xml:space="preserve"> standarta produktu piedāvājumu apjomi;</w:t>
            </w:r>
          </w:p>
          <w:p w14:paraId="71C3F7CB" w14:textId="2AC62CDB" w:rsidR="00422A2A" w:rsidRDefault="00422A2A" w:rsidP="005A43AF">
            <w:pPr>
              <w:jc w:val="both"/>
              <w:rPr>
                <w:rFonts w:ascii="Times New Roman" w:hAnsi="Times New Roman" w:cs="Times New Roman"/>
                <w:sz w:val="24"/>
                <w:szCs w:val="24"/>
              </w:rPr>
            </w:pPr>
          </w:p>
        </w:tc>
      </w:tr>
      <w:tr w:rsidR="00F527BD" w14:paraId="0E7DC199" w14:textId="77777777" w:rsidTr="00F527BD">
        <w:trPr>
          <w:trHeight w:val="1016"/>
        </w:trPr>
        <w:tc>
          <w:tcPr>
            <w:tcW w:w="1276" w:type="dxa"/>
          </w:tcPr>
          <w:p w14:paraId="23A5D07C" w14:textId="77777777" w:rsidR="00422A2A" w:rsidRPr="005B3B26" w:rsidRDefault="00422A2A" w:rsidP="00F527BD">
            <w:pPr>
              <w:pStyle w:val="Point0number"/>
              <w:numPr>
                <w:ilvl w:val="2"/>
                <w:numId w:val="91"/>
              </w:numPr>
              <w:spacing w:before="0" w:after="0"/>
              <w:rPr>
                <w:rFonts w:eastAsia="Times New Roman"/>
                <w:szCs w:val="24"/>
                <w:lang w:val="en-US"/>
              </w:rPr>
            </w:pPr>
          </w:p>
        </w:tc>
        <w:tc>
          <w:tcPr>
            <w:tcW w:w="3890" w:type="dxa"/>
          </w:tcPr>
          <w:p w14:paraId="18FAC5C1" w14:textId="144B310F" w:rsidR="00422A2A" w:rsidRPr="005B3B26" w:rsidRDefault="00422A2A" w:rsidP="00F527BD">
            <w:pPr>
              <w:pStyle w:val="Point0number"/>
              <w:numPr>
                <w:ilvl w:val="0"/>
                <w:numId w:val="0"/>
              </w:numPr>
              <w:spacing w:before="0" w:after="0"/>
              <w:rPr>
                <w:rFonts w:eastAsia="Times New Roman"/>
                <w:szCs w:val="24"/>
                <w:lang w:val="en-US"/>
              </w:rPr>
            </w:pPr>
            <w:r w:rsidRPr="005B3B26">
              <w:rPr>
                <w:rFonts w:eastAsia="Times New Roman"/>
                <w:szCs w:val="24"/>
                <w:lang w:val="en-US"/>
              </w:rPr>
              <w:t>the minimum and maximum offered prices of balancing energy bids (upward and downward):</w:t>
            </w:r>
          </w:p>
          <w:p w14:paraId="33B539C0" w14:textId="6390A811" w:rsidR="00422A2A" w:rsidDel="000A2609" w:rsidRDefault="00422A2A" w:rsidP="005A43AF">
            <w:pPr>
              <w:pStyle w:val="Point0number"/>
              <w:numPr>
                <w:ilvl w:val="0"/>
                <w:numId w:val="0"/>
              </w:numPr>
              <w:spacing w:before="0" w:after="0"/>
              <w:ind w:left="850" w:hanging="850"/>
              <w:rPr>
                <w:rFonts w:eastAsia="Times New Roman"/>
                <w:szCs w:val="24"/>
                <w:lang w:val="en-US"/>
              </w:rPr>
            </w:pPr>
          </w:p>
        </w:tc>
        <w:tc>
          <w:tcPr>
            <w:tcW w:w="3760" w:type="dxa"/>
          </w:tcPr>
          <w:p w14:paraId="19B914FC" w14:textId="7FBD5EC9" w:rsidR="00422A2A" w:rsidRPr="00D355A7" w:rsidRDefault="00422A2A" w:rsidP="005A43AF">
            <w:pPr>
              <w:ind w:left="3"/>
              <w:jc w:val="both"/>
              <w:rPr>
                <w:rFonts w:ascii="Times New Roman" w:hAnsi="Times New Roman" w:cs="Times New Roman"/>
                <w:sz w:val="24"/>
                <w:szCs w:val="24"/>
              </w:rPr>
            </w:pPr>
            <w:r w:rsidRPr="00D355A7">
              <w:rPr>
                <w:rFonts w:ascii="Times New Roman" w:hAnsi="Times New Roman" w:cs="Times New Roman"/>
                <w:sz w:val="24"/>
                <w:szCs w:val="24"/>
              </w:rPr>
              <w:t xml:space="preserve">Minimālās un maksimālās regulēšanas enerģijas cenas: </w:t>
            </w:r>
          </w:p>
          <w:p w14:paraId="4A753BA3" w14:textId="774CA28C" w:rsidR="00422A2A" w:rsidRDefault="00422A2A" w:rsidP="005A43AF">
            <w:pPr>
              <w:jc w:val="both"/>
              <w:rPr>
                <w:rFonts w:ascii="Times New Roman" w:hAnsi="Times New Roman" w:cs="Times New Roman"/>
                <w:sz w:val="24"/>
                <w:szCs w:val="24"/>
              </w:rPr>
            </w:pPr>
          </w:p>
        </w:tc>
      </w:tr>
      <w:tr w:rsidR="00F527BD" w14:paraId="064EF91A" w14:textId="77777777" w:rsidTr="00F527BD">
        <w:trPr>
          <w:trHeight w:val="624"/>
        </w:trPr>
        <w:tc>
          <w:tcPr>
            <w:tcW w:w="1276" w:type="dxa"/>
          </w:tcPr>
          <w:p w14:paraId="3746A0CB" w14:textId="77777777" w:rsidR="00422A2A" w:rsidRPr="005B3B26" w:rsidRDefault="00422A2A" w:rsidP="00F527BD">
            <w:pPr>
              <w:pStyle w:val="Point0number"/>
              <w:numPr>
                <w:ilvl w:val="2"/>
                <w:numId w:val="91"/>
              </w:numPr>
              <w:spacing w:before="0" w:after="0"/>
              <w:rPr>
                <w:rFonts w:eastAsia="Times New Roman"/>
                <w:szCs w:val="24"/>
                <w:lang w:val="en-US"/>
              </w:rPr>
            </w:pPr>
          </w:p>
        </w:tc>
        <w:tc>
          <w:tcPr>
            <w:tcW w:w="3890" w:type="dxa"/>
          </w:tcPr>
          <w:p w14:paraId="1C3A26C9" w14:textId="2B3BFC31" w:rsidR="00422A2A" w:rsidRPr="00941DA8" w:rsidRDefault="00422A2A" w:rsidP="00F527BD">
            <w:pPr>
              <w:pStyle w:val="Point0number"/>
              <w:numPr>
                <w:ilvl w:val="0"/>
                <w:numId w:val="0"/>
              </w:numPr>
              <w:tabs>
                <w:tab w:val="left" w:pos="720"/>
              </w:tabs>
              <w:spacing w:before="0" w:after="0"/>
              <w:rPr>
                <w:rFonts w:eastAsia="Times New Roman"/>
                <w:szCs w:val="24"/>
                <w:lang w:val="en-US"/>
              </w:rPr>
            </w:pPr>
            <w:proofErr w:type="spellStart"/>
            <w:r w:rsidRPr="005B3B26">
              <w:rPr>
                <w:rFonts w:eastAsia="Times New Roman"/>
                <w:szCs w:val="24"/>
                <w:lang w:val="en-US"/>
              </w:rPr>
              <w:t>mF</w:t>
            </w:r>
            <w:r>
              <w:rPr>
                <w:rFonts w:eastAsia="Times New Roman"/>
                <w:szCs w:val="24"/>
                <w:lang w:val="en-US"/>
              </w:rPr>
              <w:t>RR</w:t>
            </w:r>
            <w:proofErr w:type="spellEnd"/>
            <w:r>
              <w:rPr>
                <w:rFonts w:eastAsia="Times New Roman"/>
                <w:szCs w:val="24"/>
                <w:lang w:val="en-US"/>
              </w:rPr>
              <w:t xml:space="preserve"> standard product bid volumes</w:t>
            </w:r>
            <w:r w:rsidRPr="005B3B26">
              <w:rPr>
                <w:rFonts w:eastAsia="Times New Roman"/>
                <w:szCs w:val="24"/>
                <w:lang w:val="en-US"/>
              </w:rPr>
              <w:t>;</w:t>
            </w:r>
          </w:p>
          <w:p w14:paraId="0978B4D8" w14:textId="79679A2A" w:rsidR="00422A2A" w:rsidDel="000A2609" w:rsidRDefault="00422A2A" w:rsidP="005A43AF">
            <w:pPr>
              <w:pStyle w:val="Point0number"/>
              <w:numPr>
                <w:ilvl w:val="0"/>
                <w:numId w:val="0"/>
              </w:numPr>
              <w:spacing w:before="0" w:after="0"/>
              <w:rPr>
                <w:rFonts w:eastAsia="Times New Roman"/>
                <w:szCs w:val="24"/>
                <w:lang w:val="en-US"/>
              </w:rPr>
            </w:pPr>
          </w:p>
        </w:tc>
        <w:tc>
          <w:tcPr>
            <w:tcW w:w="3760" w:type="dxa"/>
          </w:tcPr>
          <w:p w14:paraId="67B40DC1" w14:textId="0F143898" w:rsidR="00422A2A" w:rsidRPr="00D355A7" w:rsidRDefault="00422A2A" w:rsidP="005A43AF">
            <w:pPr>
              <w:jc w:val="both"/>
              <w:rPr>
                <w:rFonts w:ascii="Times New Roman" w:hAnsi="Times New Roman" w:cs="Times New Roman"/>
                <w:sz w:val="24"/>
                <w:szCs w:val="24"/>
              </w:rPr>
            </w:pPr>
            <w:proofErr w:type="spellStart"/>
            <w:r w:rsidRPr="00D355A7">
              <w:rPr>
                <w:rFonts w:ascii="Times New Roman" w:hAnsi="Times New Roman" w:cs="Times New Roman"/>
                <w:sz w:val="24"/>
                <w:szCs w:val="24"/>
              </w:rPr>
              <w:t>mFRR</w:t>
            </w:r>
            <w:proofErr w:type="spellEnd"/>
            <w:r w:rsidRPr="00D355A7">
              <w:rPr>
                <w:rFonts w:ascii="Times New Roman" w:hAnsi="Times New Roman" w:cs="Times New Roman"/>
                <w:sz w:val="24"/>
                <w:szCs w:val="24"/>
              </w:rPr>
              <w:t xml:space="preserve"> standarta produkta piedāvājumu cenas;</w:t>
            </w:r>
          </w:p>
          <w:p w14:paraId="76BE8706" w14:textId="6C8361E5" w:rsidR="00422A2A" w:rsidRDefault="00422A2A" w:rsidP="005A43AF">
            <w:pPr>
              <w:jc w:val="both"/>
              <w:rPr>
                <w:rFonts w:ascii="Times New Roman" w:hAnsi="Times New Roman" w:cs="Times New Roman"/>
                <w:sz w:val="24"/>
                <w:szCs w:val="24"/>
              </w:rPr>
            </w:pPr>
          </w:p>
        </w:tc>
      </w:tr>
      <w:tr w:rsidR="00F527BD" w14:paraId="5E539B2E" w14:textId="77777777" w:rsidTr="00F527BD">
        <w:trPr>
          <w:trHeight w:val="353"/>
        </w:trPr>
        <w:tc>
          <w:tcPr>
            <w:tcW w:w="1276" w:type="dxa"/>
          </w:tcPr>
          <w:p w14:paraId="4FD846BC"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0FDBFA9B" w14:textId="2B93600B" w:rsidR="00422A2A" w:rsidRPr="00BC6DB3" w:rsidRDefault="00422A2A" w:rsidP="00F527BD">
            <w:pPr>
              <w:pStyle w:val="Point0number"/>
              <w:numPr>
                <w:ilvl w:val="0"/>
                <w:numId w:val="0"/>
              </w:numPr>
              <w:tabs>
                <w:tab w:val="left" w:pos="720"/>
              </w:tabs>
              <w:spacing w:before="0" w:after="0"/>
              <w:rPr>
                <w:rFonts w:eastAsia="Times New Roman"/>
                <w:szCs w:val="24"/>
                <w:lang w:val="en-US"/>
              </w:rPr>
            </w:pPr>
            <w:r w:rsidRPr="00941DA8">
              <w:rPr>
                <w:rFonts w:eastAsia="Times New Roman"/>
                <w:szCs w:val="24"/>
                <w:lang w:val="en-US"/>
              </w:rPr>
              <w:t xml:space="preserve">local </w:t>
            </w:r>
            <w:proofErr w:type="spellStart"/>
            <w:r w:rsidRPr="00941DA8">
              <w:rPr>
                <w:rFonts w:eastAsia="Times New Roman"/>
                <w:szCs w:val="24"/>
                <w:lang w:val="en-US"/>
              </w:rPr>
              <w:t>mFRR</w:t>
            </w:r>
            <w:proofErr w:type="spellEnd"/>
            <w:r w:rsidRPr="00941DA8">
              <w:rPr>
                <w:rFonts w:eastAsia="Times New Roman"/>
                <w:szCs w:val="24"/>
                <w:lang w:val="en-US"/>
              </w:rPr>
              <w:t xml:space="preserve"> (ER) bid prices</w:t>
            </w:r>
            <w:r>
              <w:rPr>
                <w:rFonts w:eastAsia="Times New Roman"/>
                <w:szCs w:val="24"/>
                <w:lang w:val="en-US"/>
              </w:rPr>
              <w:t>.</w:t>
            </w:r>
          </w:p>
          <w:p w14:paraId="1EB7211B" w14:textId="5185F14E" w:rsidR="00422A2A" w:rsidDel="000A2609" w:rsidRDefault="00422A2A" w:rsidP="005A43AF">
            <w:pPr>
              <w:pStyle w:val="Point0number"/>
              <w:numPr>
                <w:ilvl w:val="0"/>
                <w:numId w:val="0"/>
              </w:numPr>
              <w:spacing w:before="0" w:after="0"/>
              <w:rPr>
                <w:rFonts w:eastAsia="Times New Roman"/>
                <w:szCs w:val="24"/>
                <w:lang w:val="en-US"/>
              </w:rPr>
            </w:pPr>
          </w:p>
        </w:tc>
        <w:tc>
          <w:tcPr>
            <w:tcW w:w="3760" w:type="dxa"/>
          </w:tcPr>
          <w:p w14:paraId="49B54A9E" w14:textId="6DFCA754" w:rsidR="00422A2A" w:rsidRPr="00D355A7" w:rsidRDefault="00422A2A" w:rsidP="00F527BD">
            <w:pPr>
              <w:jc w:val="both"/>
              <w:rPr>
                <w:rFonts w:ascii="Times New Roman" w:hAnsi="Times New Roman" w:cs="Times New Roman"/>
                <w:sz w:val="24"/>
                <w:szCs w:val="24"/>
              </w:rPr>
            </w:pPr>
            <w:r>
              <w:rPr>
                <w:rFonts w:ascii="Times New Roman" w:hAnsi="Times New Roman" w:cs="Times New Roman"/>
                <w:sz w:val="24"/>
                <w:szCs w:val="24"/>
              </w:rPr>
              <w:t>lo</w:t>
            </w:r>
            <w:r w:rsidRPr="00D355A7">
              <w:rPr>
                <w:rFonts w:ascii="Times New Roman" w:hAnsi="Times New Roman" w:cs="Times New Roman"/>
                <w:sz w:val="24"/>
                <w:szCs w:val="24"/>
              </w:rPr>
              <w:t xml:space="preserve">kālo </w:t>
            </w:r>
            <w:proofErr w:type="spellStart"/>
            <w:r w:rsidRPr="00D355A7">
              <w:rPr>
                <w:rFonts w:ascii="Times New Roman" w:hAnsi="Times New Roman" w:cs="Times New Roman"/>
                <w:sz w:val="24"/>
                <w:szCs w:val="24"/>
              </w:rPr>
              <w:t>mFRR</w:t>
            </w:r>
            <w:proofErr w:type="spellEnd"/>
            <w:r w:rsidRPr="00D355A7">
              <w:rPr>
                <w:rFonts w:ascii="Times New Roman" w:hAnsi="Times New Roman" w:cs="Times New Roman"/>
                <w:sz w:val="24"/>
                <w:szCs w:val="24"/>
              </w:rPr>
              <w:t xml:space="preserve"> (ER) piedāvājumu cenas.</w:t>
            </w:r>
          </w:p>
          <w:p w14:paraId="727DC74C" w14:textId="2F4F1BCB" w:rsidR="00422A2A" w:rsidRDefault="00422A2A" w:rsidP="005A43AF">
            <w:pPr>
              <w:jc w:val="both"/>
              <w:rPr>
                <w:rFonts w:ascii="Times New Roman" w:hAnsi="Times New Roman" w:cs="Times New Roman"/>
                <w:sz w:val="24"/>
                <w:szCs w:val="24"/>
              </w:rPr>
            </w:pPr>
          </w:p>
        </w:tc>
      </w:tr>
      <w:tr w:rsidR="00F527BD" w14:paraId="71FE7A6D" w14:textId="77777777" w:rsidTr="00F527BD">
        <w:trPr>
          <w:trHeight w:val="1266"/>
        </w:trPr>
        <w:tc>
          <w:tcPr>
            <w:tcW w:w="1276" w:type="dxa"/>
          </w:tcPr>
          <w:p w14:paraId="25FE3887" w14:textId="77777777" w:rsidR="00422A2A" w:rsidRPr="00941DA8" w:rsidRDefault="00422A2A" w:rsidP="00F527BD">
            <w:pPr>
              <w:pStyle w:val="Point0number"/>
              <w:numPr>
                <w:ilvl w:val="2"/>
                <w:numId w:val="91"/>
              </w:numPr>
              <w:spacing w:before="0" w:after="0"/>
              <w:rPr>
                <w:rFonts w:eastAsia="Times New Roman"/>
                <w:szCs w:val="24"/>
                <w:lang w:val="en-US"/>
              </w:rPr>
            </w:pPr>
          </w:p>
        </w:tc>
        <w:tc>
          <w:tcPr>
            <w:tcW w:w="3890" w:type="dxa"/>
          </w:tcPr>
          <w:p w14:paraId="231B6F51" w14:textId="371E71BD" w:rsidR="00422A2A" w:rsidRPr="00941DA8"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aggregated activated volume of balancing energy bids (upward and downward)</w:t>
            </w:r>
            <w:r>
              <w:rPr>
                <w:rFonts w:eastAsia="Times New Roman"/>
                <w:szCs w:val="24"/>
                <w:lang w:val="en-US"/>
              </w:rPr>
              <w:t>, performing normal activation</w:t>
            </w:r>
            <w:r w:rsidRPr="00941DA8">
              <w:rPr>
                <w:rFonts w:eastAsia="Times New Roman"/>
                <w:szCs w:val="24"/>
                <w:lang w:val="en-US"/>
              </w:rPr>
              <w:t>:</w:t>
            </w:r>
          </w:p>
          <w:p w14:paraId="48751531" w14:textId="7A455EB5" w:rsidR="00422A2A" w:rsidDel="000A2609" w:rsidRDefault="00422A2A" w:rsidP="005A43AF">
            <w:pPr>
              <w:pStyle w:val="Point0number"/>
              <w:numPr>
                <w:ilvl w:val="0"/>
                <w:numId w:val="0"/>
              </w:numPr>
              <w:spacing w:before="0" w:after="0"/>
              <w:ind w:left="312"/>
              <w:rPr>
                <w:rFonts w:eastAsia="Times New Roman"/>
                <w:lang w:val="en-US"/>
              </w:rPr>
            </w:pPr>
          </w:p>
        </w:tc>
        <w:tc>
          <w:tcPr>
            <w:tcW w:w="3760" w:type="dxa"/>
          </w:tcPr>
          <w:p w14:paraId="4EBADEB4" w14:textId="160B91C2" w:rsidR="00422A2A" w:rsidRDefault="00422A2A" w:rsidP="005A43AF">
            <w:pPr>
              <w:ind w:hanging="2"/>
              <w:jc w:val="both"/>
              <w:rPr>
                <w:rFonts w:ascii="Times New Roman" w:hAnsi="Times New Roman" w:cs="Times New Roman"/>
                <w:sz w:val="24"/>
                <w:szCs w:val="24"/>
              </w:rPr>
            </w:pPr>
            <w:proofErr w:type="spellStart"/>
            <w:r w:rsidRPr="00D355A7">
              <w:rPr>
                <w:rFonts w:ascii="Times New Roman" w:hAnsi="Times New Roman" w:cs="Times New Roman"/>
                <w:sz w:val="24"/>
                <w:szCs w:val="24"/>
              </w:rPr>
              <w:t>agregētie</w:t>
            </w:r>
            <w:proofErr w:type="spellEnd"/>
            <w:r w:rsidRPr="00D355A7">
              <w:rPr>
                <w:rFonts w:ascii="Times New Roman" w:hAnsi="Times New Roman" w:cs="Times New Roman"/>
                <w:sz w:val="24"/>
                <w:szCs w:val="24"/>
              </w:rPr>
              <w:t xml:space="preserve"> kontroles zonā aktivizēto regulēšanas produkta solījumu apjomi (augšupvērsti un lejupvērsti), veicot aktivizāciju balansēšanas vajadzībām: </w:t>
            </w:r>
          </w:p>
        </w:tc>
      </w:tr>
      <w:tr w:rsidR="00F527BD" w14:paraId="434774BD" w14:textId="77777777" w:rsidTr="00F527BD">
        <w:trPr>
          <w:trHeight w:val="918"/>
        </w:trPr>
        <w:tc>
          <w:tcPr>
            <w:tcW w:w="1276" w:type="dxa"/>
          </w:tcPr>
          <w:p w14:paraId="27CFD1CC" w14:textId="77777777" w:rsidR="00422A2A" w:rsidRPr="00941DA8" w:rsidRDefault="00422A2A" w:rsidP="00F527BD">
            <w:pPr>
              <w:pStyle w:val="Point0number"/>
              <w:numPr>
                <w:ilvl w:val="3"/>
                <w:numId w:val="91"/>
              </w:numPr>
              <w:spacing w:before="0" w:after="0"/>
              <w:rPr>
                <w:rFonts w:eastAsia="Times New Roman"/>
                <w:szCs w:val="24"/>
                <w:lang w:val="en-US"/>
              </w:rPr>
            </w:pPr>
          </w:p>
        </w:tc>
        <w:tc>
          <w:tcPr>
            <w:tcW w:w="3890" w:type="dxa"/>
          </w:tcPr>
          <w:p w14:paraId="4AAB9C09" w14:textId="24CB56DB" w:rsidR="00422A2A" w:rsidRPr="00422A2A" w:rsidDel="000A2609" w:rsidRDefault="00422A2A" w:rsidP="00F527BD">
            <w:pPr>
              <w:pStyle w:val="Point0number"/>
              <w:numPr>
                <w:ilvl w:val="0"/>
                <w:numId w:val="0"/>
              </w:numPr>
              <w:spacing w:before="0" w:after="0"/>
              <w:rPr>
                <w:rFonts w:eastAsia="Times New Roman"/>
                <w:szCs w:val="24"/>
                <w:lang w:val="en-US"/>
              </w:rPr>
            </w:pPr>
            <w:r w:rsidRPr="00941DA8">
              <w:rPr>
                <w:rFonts w:eastAsia="Times New Roman"/>
                <w:szCs w:val="24"/>
                <w:lang w:val="en-US"/>
              </w:rPr>
              <w:t xml:space="preserve">SA </w:t>
            </w:r>
            <w:proofErr w:type="spellStart"/>
            <w:r w:rsidRPr="00941DA8">
              <w:rPr>
                <w:rFonts w:eastAsia="Times New Roman"/>
                <w:szCs w:val="24"/>
                <w:lang w:val="en-US"/>
              </w:rPr>
              <w:t>mFRR</w:t>
            </w:r>
            <w:proofErr w:type="spellEnd"/>
            <w:r w:rsidRPr="00941DA8">
              <w:rPr>
                <w:rFonts w:eastAsia="Times New Roman"/>
                <w:szCs w:val="24"/>
                <w:lang w:val="en-US"/>
              </w:rPr>
              <w:t xml:space="preserve"> normal activations;</w:t>
            </w:r>
          </w:p>
        </w:tc>
        <w:tc>
          <w:tcPr>
            <w:tcW w:w="3760" w:type="dxa"/>
          </w:tcPr>
          <w:p w14:paraId="348DE999" w14:textId="531F76DB" w:rsidR="00422A2A" w:rsidRDefault="00422A2A" w:rsidP="00422A2A">
            <w:pPr>
              <w:jc w:val="both"/>
              <w:rPr>
                <w:rFonts w:ascii="Times New Roman" w:hAnsi="Times New Roman" w:cs="Times New Roman"/>
                <w:sz w:val="24"/>
                <w:szCs w:val="24"/>
              </w:rPr>
            </w:pPr>
            <w:proofErr w:type="spellStart"/>
            <w:r w:rsidRPr="003C333A">
              <w:rPr>
                <w:rFonts w:ascii="Times New Roman" w:hAnsi="Times New Roman" w:cs="Times New Roman"/>
                <w:sz w:val="24"/>
                <w:szCs w:val="24"/>
              </w:rPr>
              <w:t>mFRR</w:t>
            </w:r>
            <w:proofErr w:type="spellEnd"/>
            <w:r w:rsidRPr="003C333A">
              <w:rPr>
                <w:rFonts w:ascii="Times New Roman" w:hAnsi="Times New Roman" w:cs="Times New Roman"/>
                <w:sz w:val="24"/>
                <w:szCs w:val="24"/>
              </w:rPr>
              <w:t xml:space="preserve"> standarta produktiem ar SA aktivizācijas tipu;</w:t>
            </w:r>
          </w:p>
        </w:tc>
      </w:tr>
      <w:tr w:rsidR="00F527BD" w14:paraId="3B1D09AC" w14:textId="77777777" w:rsidTr="00F527BD">
        <w:trPr>
          <w:trHeight w:val="646"/>
        </w:trPr>
        <w:tc>
          <w:tcPr>
            <w:tcW w:w="1276" w:type="dxa"/>
          </w:tcPr>
          <w:p w14:paraId="07D8D068" w14:textId="0980DE33" w:rsidR="00422A2A" w:rsidRPr="00BE2185" w:rsidRDefault="00422A2A" w:rsidP="00F527BD">
            <w:pPr>
              <w:pStyle w:val="Point0number"/>
              <w:numPr>
                <w:ilvl w:val="3"/>
                <w:numId w:val="91"/>
              </w:numPr>
              <w:spacing w:before="0" w:after="0"/>
              <w:rPr>
                <w:rFonts w:eastAsia="Times New Roman"/>
                <w:szCs w:val="24"/>
                <w:lang w:val="en-US"/>
              </w:rPr>
            </w:pPr>
          </w:p>
        </w:tc>
        <w:tc>
          <w:tcPr>
            <w:tcW w:w="3890" w:type="dxa"/>
          </w:tcPr>
          <w:p w14:paraId="66BFF857" w14:textId="6AB04876" w:rsidR="00422A2A" w:rsidRPr="00422A2A" w:rsidRDefault="00422A2A" w:rsidP="00F527BD">
            <w:pPr>
              <w:pStyle w:val="Point0number"/>
              <w:numPr>
                <w:ilvl w:val="0"/>
                <w:numId w:val="0"/>
              </w:numPr>
              <w:spacing w:before="0" w:after="0"/>
              <w:rPr>
                <w:rFonts w:eastAsia="Times New Roman"/>
                <w:szCs w:val="24"/>
                <w:lang w:val="en-US"/>
              </w:rPr>
            </w:pPr>
            <w:r w:rsidRPr="00BE2185">
              <w:rPr>
                <w:rFonts w:eastAsia="Times New Roman"/>
                <w:szCs w:val="24"/>
                <w:lang w:val="en-US"/>
              </w:rPr>
              <w:t xml:space="preserve">DA </w:t>
            </w:r>
            <w:proofErr w:type="spellStart"/>
            <w:r w:rsidRPr="00BE2185">
              <w:rPr>
                <w:rFonts w:eastAsia="Times New Roman"/>
                <w:szCs w:val="24"/>
                <w:lang w:val="en-US"/>
              </w:rPr>
              <w:t>mFRR</w:t>
            </w:r>
            <w:proofErr w:type="spellEnd"/>
            <w:r w:rsidRPr="00BE2185">
              <w:rPr>
                <w:rFonts w:eastAsia="Times New Roman"/>
                <w:szCs w:val="24"/>
                <w:lang w:val="en-US"/>
              </w:rPr>
              <w:t xml:space="preserve"> normal activations;</w:t>
            </w:r>
          </w:p>
        </w:tc>
        <w:tc>
          <w:tcPr>
            <w:tcW w:w="3760" w:type="dxa"/>
          </w:tcPr>
          <w:p w14:paraId="6DA702A3" w14:textId="43D302CD" w:rsidR="00422A2A" w:rsidRPr="003C333A" w:rsidRDefault="00422A2A" w:rsidP="00422A2A">
            <w:pPr>
              <w:ind w:left="3"/>
              <w:jc w:val="both"/>
              <w:rPr>
                <w:rFonts w:ascii="Times New Roman" w:hAnsi="Times New Roman" w:cs="Times New Roman"/>
                <w:sz w:val="24"/>
                <w:szCs w:val="24"/>
              </w:rPr>
            </w:pPr>
            <w:proofErr w:type="spellStart"/>
            <w:r w:rsidRPr="003C333A">
              <w:rPr>
                <w:rFonts w:ascii="Times New Roman" w:hAnsi="Times New Roman" w:cs="Times New Roman"/>
                <w:sz w:val="24"/>
                <w:szCs w:val="24"/>
              </w:rPr>
              <w:t>mFRR</w:t>
            </w:r>
            <w:proofErr w:type="spellEnd"/>
            <w:r w:rsidRPr="003C333A">
              <w:rPr>
                <w:rFonts w:ascii="Times New Roman" w:hAnsi="Times New Roman" w:cs="Times New Roman"/>
                <w:sz w:val="24"/>
                <w:szCs w:val="24"/>
              </w:rPr>
              <w:t xml:space="preserve"> standarta produktiem ar DA aktivizācijas tipu;</w:t>
            </w:r>
          </w:p>
        </w:tc>
      </w:tr>
      <w:tr w:rsidR="00F527BD" w14:paraId="04F00BFA" w14:textId="77777777" w:rsidTr="00F527BD">
        <w:trPr>
          <w:trHeight w:val="570"/>
        </w:trPr>
        <w:tc>
          <w:tcPr>
            <w:tcW w:w="1276" w:type="dxa"/>
          </w:tcPr>
          <w:p w14:paraId="0FD0E3BE" w14:textId="77777777" w:rsidR="00422A2A" w:rsidRPr="00BE2185" w:rsidRDefault="00422A2A" w:rsidP="00F527BD">
            <w:pPr>
              <w:pStyle w:val="Point0number"/>
              <w:numPr>
                <w:ilvl w:val="3"/>
                <w:numId w:val="91"/>
              </w:numPr>
              <w:spacing w:before="0" w:after="0"/>
              <w:rPr>
                <w:rFonts w:eastAsia="Times New Roman"/>
                <w:szCs w:val="24"/>
                <w:lang w:val="en-US"/>
              </w:rPr>
            </w:pPr>
          </w:p>
        </w:tc>
        <w:tc>
          <w:tcPr>
            <w:tcW w:w="3890" w:type="dxa"/>
          </w:tcPr>
          <w:p w14:paraId="6408D909" w14:textId="23BFCAB9" w:rsidR="00422A2A" w:rsidRPr="00422A2A" w:rsidRDefault="00422A2A" w:rsidP="00F527BD">
            <w:pPr>
              <w:pStyle w:val="Point0number"/>
              <w:numPr>
                <w:ilvl w:val="0"/>
                <w:numId w:val="0"/>
              </w:numPr>
              <w:spacing w:before="0" w:after="0"/>
              <w:rPr>
                <w:rFonts w:eastAsia="Times New Roman"/>
                <w:szCs w:val="24"/>
                <w:lang w:val="en-US"/>
              </w:rPr>
            </w:pPr>
            <w:r w:rsidRPr="00BE2185">
              <w:rPr>
                <w:rFonts w:eastAsia="Times New Roman"/>
                <w:szCs w:val="24"/>
                <w:lang w:val="en-US"/>
              </w:rPr>
              <w:t xml:space="preserve">local </w:t>
            </w:r>
            <w:proofErr w:type="spellStart"/>
            <w:r w:rsidRPr="00BE2185">
              <w:rPr>
                <w:rFonts w:eastAsia="Times New Roman"/>
                <w:szCs w:val="24"/>
                <w:lang w:val="en-US"/>
              </w:rPr>
              <w:t>mFRR</w:t>
            </w:r>
            <w:proofErr w:type="spellEnd"/>
            <w:r w:rsidRPr="00BE2185">
              <w:rPr>
                <w:rFonts w:eastAsia="Times New Roman"/>
                <w:szCs w:val="24"/>
                <w:lang w:val="en-US"/>
              </w:rPr>
              <w:t xml:space="preserve"> normal activations;</w:t>
            </w:r>
          </w:p>
        </w:tc>
        <w:tc>
          <w:tcPr>
            <w:tcW w:w="3760" w:type="dxa"/>
          </w:tcPr>
          <w:p w14:paraId="101DF349" w14:textId="77777777" w:rsidR="00422A2A" w:rsidRPr="003C333A" w:rsidRDefault="00422A2A" w:rsidP="00422A2A">
            <w:pPr>
              <w:ind w:left="3"/>
              <w:jc w:val="both"/>
              <w:rPr>
                <w:rFonts w:ascii="Times New Roman" w:hAnsi="Times New Roman" w:cs="Times New Roman"/>
                <w:sz w:val="24"/>
                <w:szCs w:val="24"/>
              </w:rPr>
            </w:pPr>
            <w:r w:rsidRPr="003C333A">
              <w:rPr>
                <w:rFonts w:ascii="Times New Roman" w:hAnsi="Times New Roman" w:cs="Times New Roman"/>
                <w:sz w:val="24"/>
                <w:szCs w:val="24"/>
              </w:rPr>
              <w:t xml:space="preserve">lokālo </w:t>
            </w:r>
            <w:proofErr w:type="spellStart"/>
            <w:r w:rsidRPr="003C333A">
              <w:rPr>
                <w:rFonts w:ascii="Times New Roman" w:hAnsi="Times New Roman" w:cs="Times New Roman"/>
                <w:sz w:val="24"/>
                <w:szCs w:val="24"/>
              </w:rPr>
              <w:t>mFRR</w:t>
            </w:r>
            <w:proofErr w:type="spellEnd"/>
            <w:r w:rsidRPr="003C333A">
              <w:rPr>
                <w:rFonts w:ascii="Times New Roman" w:hAnsi="Times New Roman" w:cs="Times New Roman"/>
                <w:sz w:val="24"/>
                <w:szCs w:val="24"/>
              </w:rPr>
              <w:t xml:space="preserve"> produktu aktivizāciju apjomi;</w:t>
            </w:r>
          </w:p>
          <w:p w14:paraId="427B0809" w14:textId="77777777" w:rsidR="00422A2A" w:rsidRPr="003C333A" w:rsidRDefault="00422A2A" w:rsidP="00422A2A">
            <w:pPr>
              <w:ind w:left="3"/>
              <w:jc w:val="both"/>
              <w:rPr>
                <w:rFonts w:ascii="Times New Roman" w:hAnsi="Times New Roman" w:cs="Times New Roman"/>
                <w:sz w:val="24"/>
                <w:szCs w:val="24"/>
              </w:rPr>
            </w:pPr>
          </w:p>
        </w:tc>
      </w:tr>
      <w:tr w:rsidR="00F527BD" w14:paraId="11E85A31" w14:textId="77777777" w:rsidTr="00F527BD">
        <w:trPr>
          <w:trHeight w:val="917"/>
        </w:trPr>
        <w:tc>
          <w:tcPr>
            <w:tcW w:w="1276" w:type="dxa"/>
          </w:tcPr>
          <w:p w14:paraId="1439428E" w14:textId="77777777" w:rsidR="00422A2A" w:rsidRPr="00E02696" w:rsidRDefault="00422A2A" w:rsidP="00F527BD">
            <w:pPr>
              <w:pStyle w:val="Point0number"/>
              <w:numPr>
                <w:ilvl w:val="3"/>
                <w:numId w:val="91"/>
              </w:numPr>
              <w:spacing w:before="0" w:after="0"/>
              <w:rPr>
                <w:rFonts w:eastAsia="Times New Roman"/>
                <w:szCs w:val="24"/>
                <w:lang w:val="en-US"/>
              </w:rPr>
            </w:pPr>
          </w:p>
        </w:tc>
        <w:tc>
          <w:tcPr>
            <w:tcW w:w="3890" w:type="dxa"/>
          </w:tcPr>
          <w:p w14:paraId="08082CF9" w14:textId="5BBD9CE7" w:rsidR="00422A2A" w:rsidRPr="00422A2A" w:rsidRDefault="00422A2A" w:rsidP="00F527BD">
            <w:pPr>
              <w:pStyle w:val="Point0number"/>
              <w:numPr>
                <w:ilvl w:val="0"/>
                <w:numId w:val="0"/>
              </w:numPr>
              <w:spacing w:before="0" w:after="0"/>
              <w:rPr>
                <w:rFonts w:eastAsia="Times New Roman"/>
                <w:szCs w:val="24"/>
                <w:lang w:val="en-US"/>
              </w:rPr>
            </w:pPr>
            <w:proofErr w:type="spellStart"/>
            <w:r w:rsidRPr="00E02696">
              <w:rPr>
                <w:rFonts w:eastAsia="Times New Roman"/>
                <w:szCs w:val="24"/>
                <w:lang w:val="en-US"/>
              </w:rPr>
              <w:t>aFRR</w:t>
            </w:r>
            <w:proofErr w:type="spellEnd"/>
            <w:r w:rsidRPr="00E02696">
              <w:rPr>
                <w:rFonts w:eastAsia="Times New Roman"/>
                <w:szCs w:val="24"/>
                <w:lang w:val="en-US"/>
              </w:rPr>
              <w:t xml:space="preserve"> product activation volumes;</w:t>
            </w:r>
          </w:p>
        </w:tc>
        <w:tc>
          <w:tcPr>
            <w:tcW w:w="3760" w:type="dxa"/>
          </w:tcPr>
          <w:p w14:paraId="58C8B099" w14:textId="77777777" w:rsidR="00422A2A" w:rsidRPr="003C333A" w:rsidRDefault="00422A2A" w:rsidP="00422A2A">
            <w:pPr>
              <w:ind w:left="570" w:hanging="567"/>
              <w:jc w:val="both"/>
              <w:rPr>
                <w:rFonts w:ascii="Times New Roman" w:hAnsi="Times New Roman" w:cs="Times New Roman"/>
                <w:sz w:val="24"/>
                <w:szCs w:val="24"/>
              </w:rPr>
            </w:pPr>
            <w:proofErr w:type="spellStart"/>
            <w:r w:rsidRPr="003C333A">
              <w:rPr>
                <w:rFonts w:ascii="Times New Roman" w:hAnsi="Times New Roman" w:cs="Times New Roman"/>
                <w:sz w:val="24"/>
                <w:szCs w:val="24"/>
              </w:rPr>
              <w:t>aFRR</w:t>
            </w:r>
            <w:proofErr w:type="spellEnd"/>
            <w:r w:rsidRPr="003C333A">
              <w:rPr>
                <w:rFonts w:ascii="Times New Roman" w:hAnsi="Times New Roman" w:cs="Times New Roman"/>
                <w:sz w:val="24"/>
                <w:szCs w:val="24"/>
              </w:rPr>
              <w:t xml:space="preserve"> produktu aktivizāciju apjomi;</w:t>
            </w:r>
          </w:p>
          <w:p w14:paraId="3CB1F3F2" w14:textId="77777777" w:rsidR="00422A2A" w:rsidRPr="003C333A" w:rsidRDefault="00422A2A" w:rsidP="00422A2A">
            <w:pPr>
              <w:ind w:left="3"/>
              <w:jc w:val="both"/>
              <w:rPr>
                <w:rFonts w:ascii="Times New Roman" w:hAnsi="Times New Roman" w:cs="Times New Roman"/>
                <w:sz w:val="24"/>
                <w:szCs w:val="24"/>
              </w:rPr>
            </w:pPr>
          </w:p>
        </w:tc>
      </w:tr>
      <w:tr w:rsidR="00F527BD" w14:paraId="0478CEC9" w14:textId="77777777" w:rsidTr="00F527BD">
        <w:trPr>
          <w:trHeight w:val="917"/>
        </w:trPr>
        <w:tc>
          <w:tcPr>
            <w:tcW w:w="1276" w:type="dxa"/>
          </w:tcPr>
          <w:p w14:paraId="68E1DB41" w14:textId="77777777" w:rsidR="00422A2A" w:rsidRPr="00BE2185" w:rsidRDefault="00422A2A" w:rsidP="00011F87">
            <w:pPr>
              <w:pStyle w:val="Point0number"/>
              <w:numPr>
                <w:ilvl w:val="3"/>
                <w:numId w:val="91"/>
              </w:numPr>
              <w:spacing w:before="0" w:after="0"/>
              <w:rPr>
                <w:rFonts w:eastAsia="Times New Roman"/>
                <w:szCs w:val="24"/>
                <w:lang w:val="en-US"/>
              </w:rPr>
            </w:pPr>
          </w:p>
        </w:tc>
        <w:tc>
          <w:tcPr>
            <w:tcW w:w="3890" w:type="dxa"/>
          </w:tcPr>
          <w:p w14:paraId="19D8C406" w14:textId="73BB05FE" w:rsidR="00422A2A" w:rsidRPr="00422A2A" w:rsidRDefault="00422A2A" w:rsidP="00F527BD">
            <w:pPr>
              <w:pStyle w:val="Point0number"/>
              <w:numPr>
                <w:ilvl w:val="0"/>
                <w:numId w:val="0"/>
              </w:numPr>
              <w:spacing w:before="0" w:after="0"/>
              <w:rPr>
                <w:rFonts w:eastAsia="Times New Roman"/>
                <w:szCs w:val="24"/>
                <w:lang w:val="en-US"/>
              </w:rPr>
            </w:pPr>
            <w:r w:rsidRPr="00BE2185">
              <w:rPr>
                <w:rFonts w:eastAsia="Times New Roman"/>
                <w:szCs w:val="24"/>
                <w:lang w:val="en-US"/>
              </w:rPr>
              <w:t>aggregated activated volume of balancing energy bids (upward and downward), performing special activation in the control area;</w:t>
            </w:r>
          </w:p>
        </w:tc>
        <w:tc>
          <w:tcPr>
            <w:tcW w:w="3760" w:type="dxa"/>
          </w:tcPr>
          <w:p w14:paraId="04DC6618" w14:textId="77777777" w:rsidR="00422A2A" w:rsidRPr="003C333A" w:rsidRDefault="00422A2A" w:rsidP="00422A2A">
            <w:pPr>
              <w:ind w:left="3"/>
              <w:jc w:val="both"/>
              <w:rPr>
                <w:rFonts w:ascii="Times New Roman" w:hAnsi="Times New Roman" w:cs="Times New Roman"/>
                <w:sz w:val="24"/>
                <w:szCs w:val="24"/>
              </w:rPr>
            </w:pPr>
            <w:proofErr w:type="spellStart"/>
            <w:r w:rsidRPr="003C333A">
              <w:rPr>
                <w:rFonts w:ascii="Times New Roman" w:hAnsi="Times New Roman" w:cs="Times New Roman"/>
                <w:sz w:val="24"/>
                <w:szCs w:val="24"/>
              </w:rPr>
              <w:t>agregētie</w:t>
            </w:r>
            <w:proofErr w:type="spellEnd"/>
            <w:r w:rsidRPr="003C333A">
              <w:rPr>
                <w:rFonts w:ascii="Times New Roman" w:hAnsi="Times New Roman" w:cs="Times New Roman"/>
                <w:sz w:val="24"/>
                <w:szCs w:val="24"/>
              </w:rPr>
              <w:t xml:space="preserve"> kontroles zonā aktivizētie regulēšanas produkta solījumu apjomi (augšupvērsti un lejupvērsti), veicot speciālo aktivizāciju;</w:t>
            </w:r>
          </w:p>
          <w:p w14:paraId="2BE4D2D4" w14:textId="77777777" w:rsidR="00422A2A" w:rsidRPr="003C333A" w:rsidRDefault="00422A2A" w:rsidP="005A43AF">
            <w:pPr>
              <w:jc w:val="both"/>
              <w:rPr>
                <w:rFonts w:ascii="Times New Roman" w:hAnsi="Times New Roman" w:cs="Times New Roman"/>
                <w:sz w:val="24"/>
                <w:szCs w:val="24"/>
              </w:rPr>
            </w:pPr>
          </w:p>
        </w:tc>
      </w:tr>
      <w:tr w:rsidR="00F527BD" w14:paraId="4E618037" w14:textId="77777777" w:rsidTr="00F527BD">
        <w:trPr>
          <w:trHeight w:val="612"/>
        </w:trPr>
        <w:tc>
          <w:tcPr>
            <w:tcW w:w="1276" w:type="dxa"/>
          </w:tcPr>
          <w:p w14:paraId="4DD752BD" w14:textId="77777777" w:rsidR="00422A2A" w:rsidRPr="00BF4AF8" w:rsidRDefault="00422A2A" w:rsidP="00F527BD">
            <w:pPr>
              <w:pStyle w:val="Point0number"/>
              <w:numPr>
                <w:ilvl w:val="2"/>
                <w:numId w:val="91"/>
              </w:numPr>
              <w:spacing w:before="0" w:after="0"/>
              <w:rPr>
                <w:rFonts w:eastAsia="Times New Roman"/>
                <w:szCs w:val="24"/>
                <w:lang w:val="en-US"/>
              </w:rPr>
            </w:pPr>
          </w:p>
        </w:tc>
        <w:tc>
          <w:tcPr>
            <w:tcW w:w="3890" w:type="dxa"/>
          </w:tcPr>
          <w:p w14:paraId="27564E8E" w14:textId="3BA541BA" w:rsidR="00422A2A" w:rsidRPr="00422A2A" w:rsidDel="000A2609" w:rsidRDefault="00422A2A" w:rsidP="00F527BD">
            <w:pPr>
              <w:pStyle w:val="Point0number"/>
              <w:numPr>
                <w:ilvl w:val="0"/>
                <w:numId w:val="0"/>
              </w:numPr>
              <w:spacing w:before="0" w:after="0"/>
              <w:rPr>
                <w:rFonts w:eastAsia="Times New Roman"/>
                <w:szCs w:val="24"/>
                <w:lang w:val="en-US"/>
              </w:rPr>
            </w:pPr>
            <w:r w:rsidRPr="00BF4AF8">
              <w:rPr>
                <w:rFonts w:eastAsia="Times New Roman"/>
                <w:szCs w:val="24"/>
                <w:lang w:val="en-US"/>
              </w:rPr>
              <w:t>aggregated balancing energy prices (upward and downward):</w:t>
            </w:r>
          </w:p>
        </w:tc>
        <w:tc>
          <w:tcPr>
            <w:tcW w:w="3760" w:type="dxa"/>
          </w:tcPr>
          <w:p w14:paraId="65DA15F8" w14:textId="390659C3" w:rsidR="00422A2A" w:rsidRDefault="00422A2A" w:rsidP="005A43AF">
            <w:pPr>
              <w:ind w:left="139" w:hanging="2"/>
              <w:jc w:val="both"/>
              <w:rPr>
                <w:rFonts w:ascii="Times New Roman" w:hAnsi="Times New Roman" w:cs="Times New Roman"/>
                <w:sz w:val="24"/>
                <w:szCs w:val="24"/>
              </w:rPr>
            </w:pPr>
            <w:r w:rsidRPr="008352C8">
              <w:rPr>
                <w:rFonts w:ascii="Times New Roman" w:hAnsi="Times New Roman" w:cs="Times New Roman"/>
                <w:sz w:val="24"/>
                <w:szCs w:val="24"/>
              </w:rPr>
              <w:t>regulēšanas enerģijas cen</w:t>
            </w:r>
            <w:r>
              <w:rPr>
                <w:rFonts w:ascii="Times New Roman" w:hAnsi="Times New Roman" w:cs="Times New Roman"/>
                <w:sz w:val="24"/>
                <w:szCs w:val="24"/>
              </w:rPr>
              <w:t xml:space="preserve">ām </w:t>
            </w:r>
            <w:r w:rsidRPr="008352C8">
              <w:rPr>
                <w:rFonts w:ascii="Times New Roman" w:hAnsi="Times New Roman" w:cs="Times New Roman"/>
                <w:sz w:val="24"/>
                <w:szCs w:val="24"/>
              </w:rPr>
              <w:t xml:space="preserve">(augšupvērsti un lejupvērsti): </w:t>
            </w:r>
          </w:p>
          <w:p w14:paraId="35105389" w14:textId="77777777" w:rsidR="00422A2A" w:rsidRDefault="00422A2A" w:rsidP="00422A2A">
            <w:pPr>
              <w:ind w:left="139" w:hanging="2"/>
              <w:jc w:val="both"/>
              <w:rPr>
                <w:rFonts w:ascii="Times New Roman" w:hAnsi="Times New Roman" w:cs="Times New Roman"/>
                <w:sz w:val="24"/>
                <w:szCs w:val="24"/>
              </w:rPr>
            </w:pPr>
          </w:p>
        </w:tc>
      </w:tr>
      <w:tr w:rsidR="00F527BD" w14:paraId="2241AD62" w14:textId="77777777" w:rsidTr="00F527BD">
        <w:trPr>
          <w:trHeight w:val="612"/>
        </w:trPr>
        <w:tc>
          <w:tcPr>
            <w:tcW w:w="1276" w:type="dxa"/>
          </w:tcPr>
          <w:p w14:paraId="588FA5AC" w14:textId="77777777" w:rsidR="00422A2A" w:rsidRPr="00BF4AF8" w:rsidRDefault="00422A2A" w:rsidP="00F527BD">
            <w:pPr>
              <w:pStyle w:val="Point0number"/>
              <w:numPr>
                <w:ilvl w:val="3"/>
                <w:numId w:val="91"/>
              </w:numPr>
              <w:spacing w:before="0" w:after="0"/>
              <w:rPr>
                <w:rFonts w:eastAsia="Times New Roman"/>
                <w:szCs w:val="24"/>
                <w:lang w:val="en-US"/>
              </w:rPr>
            </w:pPr>
          </w:p>
        </w:tc>
        <w:tc>
          <w:tcPr>
            <w:tcW w:w="3890" w:type="dxa"/>
          </w:tcPr>
          <w:p w14:paraId="4A6B522A" w14:textId="588DF227" w:rsidR="00422A2A" w:rsidRPr="00422A2A" w:rsidRDefault="00422A2A" w:rsidP="00F527BD">
            <w:pPr>
              <w:pStyle w:val="Point0number"/>
              <w:numPr>
                <w:ilvl w:val="0"/>
                <w:numId w:val="0"/>
              </w:numPr>
              <w:spacing w:before="0" w:after="0"/>
              <w:rPr>
                <w:rFonts w:eastAsia="Times New Roman"/>
                <w:szCs w:val="24"/>
                <w:lang w:val="en-US"/>
              </w:rPr>
            </w:pPr>
            <w:r w:rsidRPr="00BF4AF8">
              <w:rPr>
                <w:rFonts w:eastAsia="Times New Roman"/>
                <w:szCs w:val="24"/>
                <w:lang w:val="en-US"/>
              </w:rPr>
              <w:t>CBMP;</w:t>
            </w:r>
          </w:p>
        </w:tc>
        <w:tc>
          <w:tcPr>
            <w:tcW w:w="3760" w:type="dxa"/>
          </w:tcPr>
          <w:p w14:paraId="2CAE5BE9" w14:textId="77777777" w:rsidR="00422A2A" w:rsidRDefault="00422A2A" w:rsidP="00422A2A">
            <w:pPr>
              <w:ind w:left="139" w:hanging="2"/>
              <w:jc w:val="both"/>
              <w:rPr>
                <w:rFonts w:ascii="Times New Roman" w:hAnsi="Times New Roman" w:cs="Times New Roman"/>
                <w:sz w:val="24"/>
                <w:szCs w:val="24"/>
              </w:rPr>
            </w:pPr>
            <w:r w:rsidRPr="008352C8">
              <w:rPr>
                <w:rFonts w:ascii="Times New Roman" w:hAnsi="Times New Roman" w:cs="Times New Roman"/>
                <w:sz w:val="24"/>
                <w:szCs w:val="24"/>
              </w:rPr>
              <w:t>CBMP;</w:t>
            </w:r>
          </w:p>
          <w:p w14:paraId="123BFC10" w14:textId="49386964" w:rsidR="00422A2A" w:rsidRPr="008352C8" w:rsidRDefault="00422A2A" w:rsidP="00422A2A">
            <w:pPr>
              <w:ind w:left="139" w:hanging="2"/>
              <w:jc w:val="both"/>
              <w:rPr>
                <w:rFonts w:ascii="Times New Roman" w:hAnsi="Times New Roman" w:cs="Times New Roman"/>
                <w:sz w:val="24"/>
                <w:szCs w:val="24"/>
              </w:rPr>
            </w:pPr>
            <w:r w:rsidRPr="008352C8">
              <w:rPr>
                <w:rFonts w:ascii="Times New Roman" w:hAnsi="Times New Roman" w:cs="Times New Roman"/>
                <w:sz w:val="24"/>
                <w:szCs w:val="24"/>
              </w:rPr>
              <w:tab/>
            </w:r>
          </w:p>
        </w:tc>
      </w:tr>
      <w:tr w:rsidR="00F527BD" w14:paraId="62C71BF1" w14:textId="77777777" w:rsidTr="00F527BD">
        <w:trPr>
          <w:trHeight w:val="612"/>
        </w:trPr>
        <w:tc>
          <w:tcPr>
            <w:tcW w:w="1276" w:type="dxa"/>
          </w:tcPr>
          <w:p w14:paraId="65BCE056" w14:textId="77777777" w:rsidR="00422A2A" w:rsidRPr="00BF4AF8" w:rsidRDefault="00422A2A" w:rsidP="00F527BD">
            <w:pPr>
              <w:pStyle w:val="Point0number"/>
              <w:numPr>
                <w:ilvl w:val="3"/>
                <w:numId w:val="91"/>
              </w:numPr>
              <w:spacing w:before="0" w:after="0"/>
              <w:rPr>
                <w:rFonts w:eastAsia="Times New Roman"/>
                <w:szCs w:val="24"/>
                <w:lang w:val="en-US"/>
              </w:rPr>
            </w:pPr>
          </w:p>
        </w:tc>
        <w:tc>
          <w:tcPr>
            <w:tcW w:w="3890" w:type="dxa"/>
          </w:tcPr>
          <w:p w14:paraId="0FF22433" w14:textId="19D399B8" w:rsidR="00422A2A" w:rsidRDefault="00422A2A" w:rsidP="00F527BD">
            <w:pPr>
              <w:pStyle w:val="Point0number"/>
              <w:numPr>
                <w:ilvl w:val="0"/>
                <w:numId w:val="0"/>
              </w:numPr>
              <w:spacing w:before="0" w:after="0"/>
              <w:rPr>
                <w:rFonts w:eastAsia="Times New Roman"/>
                <w:szCs w:val="24"/>
                <w:lang w:val="en-US"/>
              </w:rPr>
            </w:pPr>
            <w:r w:rsidRPr="00BF4AF8">
              <w:rPr>
                <w:rFonts w:eastAsia="Times New Roman"/>
                <w:szCs w:val="24"/>
                <w:lang w:val="en-US"/>
              </w:rPr>
              <w:t>LMP;</w:t>
            </w:r>
          </w:p>
          <w:p w14:paraId="4CA54B96" w14:textId="6EC82773" w:rsidR="00422A2A" w:rsidRPr="00BF4AF8" w:rsidRDefault="00422A2A" w:rsidP="00422A2A">
            <w:pPr>
              <w:pStyle w:val="Point0number"/>
              <w:numPr>
                <w:ilvl w:val="0"/>
                <w:numId w:val="0"/>
              </w:numPr>
              <w:spacing w:before="0" w:after="0"/>
              <w:rPr>
                <w:rFonts w:eastAsia="Times New Roman"/>
                <w:szCs w:val="24"/>
                <w:lang w:val="en-US"/>
              </w:rPr>
            </w:pPr>
          </w:p>
        </w:tc>
        <w:tc>
          <w:tcPr>
            <w:tcW w:w="3760" w:type="dxa"/>
          </w:tcPr>
          <w:p w14:paraId="142FEB6F" w14:textId="77777777" w:rsidR="00422A2A" w:rsidRDefault="00422A2A" w:rsidP="00422A2A">
            <w:pPr>
              <w:ind w:left="139" w:hanging="2"/>
              <w:jc w:val="both"/>
              <w:rPr>
                <w:rFonts w:ascii="Times New Roman" w:hAnsi="Times New Roman" w:cs="Times New Roman"/>
                <w:sz w:val="24"/>
                <w:szCs w:val="24"/>
              </w:rPr>
            </w:pPr>
            <w:r w:rsidRPr="008352C8">
              <w:rPr>
                <w:rFonts w:ascii="Times New Roman" w:hAnsi="Times New Roman" w:cs="Times New Roman"/>
                <w:sz w:val="24"/>
                <w:szCs w:val="24"/>
              </w:rPr>
              <w:t>LMP;</w:t>
            </w:r>
          </w:p>
          <w:p w14:paraId="7C51A22A" w14:textId="77777777" w:rsidR="00422A2A" w:rsidRPr="008352C8" w:rsidRDefault="00422A2A" w:rsidP="00422A2A">
            <w:pPr>
              <w:ind w:left="139" w:hanging="2"/>
              <w:jc w:val="both"/>
              <w:rPr>
                <w:rFonts w:ascii="Times New Roman" w:hAnsi="Times New Roman" w:cs="Times New Roman"/>
                <w:sz w:val="24"/>
                <w:szCs w:val="24"/>
              </w:rPr>
            </w:pPr>
          </w:p>
        </w:tc>
      </w:tr>
      <w:tr w:rsidR="00F527BD" w14:paraId="1EBB5D28" w14:textId="77777777" w:rsidTr="00F527BD">
        <w:trPr>
          <w:trHeight w:val="612"/>
        </w:trPr>
        <w:tc>
          <w:tcPr>
            <w:tcW w:w="1276" w:type="dxa"/>
          </w:tcPr>
          <w:p w14:paraId="3DA400EE" w14:textId="77777777" w:rsidR="00422A2A" w:rsidRPr="0030041C" w:rsidRDefault="00422A2A" w:rsidP="00F527BD">
            <w:pPr>
              <w:pStyle w:val="Point0number"/>
              <w:numPr>
                <w:ilvl w:val="3"/>
                <w:numId w:val="91"/>
              </w:numPr>
              <w:spacing w:before="0" w:after="0"/>
              <w:rPr>
                <w:rFonts w:eastAsia="Times New Roman"/>
                <w:szCs w:val="24"/>
                <w:lang w:val="en-US"/>
              </w:rPr>
            </w:pPr>
          </w:p>
        </w:tc>
        <w:tc>
          <w:tcPr>
            <w:tcW w:w="3890" w:type="dxa"/>
          </w:tcPr>
          <w:p w14:paraId="0B87E1F8" w14:textId="19F741CC" w:rsidR="00422A2A" w:rsidRPr="00BF4AF8" w:rsidRDefault="00422A2A" w:rsidP="00F527BD">
            <w:pPr>
              <w:pStyle w:val="Point0number"/>
              <w:numPr>
                <w:ilvl w:val="0"/>
                <w:numId w:val="0"/>
              </w:numPr>
              <w:spacing w:before="0" w:after="0"/>
              <w:rPr>
                <w:rFonts w:eastAsia="Times New Roman"/>
                <w:szCs w:val="24"/>
                <w:lang w:val="en-US"/>
              </w:rPr>
            </w:pPr>
            <w:proofErr w:type="spellStart"/>
            <w:r w:rsidRPr="0030041C">
              <w:rPr>
                <w:rFonts w:eastAsia="Times New Roman"/>
                <w:szCs w:val="24"/>
                <w:lang w:val="en-US"/>
              </w:rPr>
              <w:t>aFRR</w:t>
            </w:r>
            <w:proofErr w:type="spellEnd"/>
            <w:r w:rsidRPr="0030041C">
              <w:rPr>
                <w:rFonts w:eastAsia="Times New Roman"/>
                <w:szCs w:val="24"/>
                <w:lang w:val="en-US"/>
              </w:rPr>
              <w:t xml:space="preserve"> </w:t>
            </w:r>
            <w:proofErr w:type="spellStart"/>
            <w:r w:rsidRPr="0030041C">
              <w:rPr>
                <w:rFonts w:eastAsia="Times New Roman"/>
                <w:szCs w:val="24"/>
                <w:lang w:val="en-US"/>
              </w:rPr>
              <w:t>wighted</w:t>
            </w:r>
            <w:proofErr w:type="spellEnd"/>
            <w:r w:rsidRPr="0030041C">
              <w:rPr>
                <w:rFonts w:eastAsia="Times New Roman"/>
                <w:szCs w:val="24"/>
                <w:lang w:val="en-US"/>
              </w:rPr>
              <w:t xml:space="preserve"> </w:t>
            </w:r>
            <w:proofErr w:type="spellStart"/>
            <w:r w:rsidRPr="0030041C">
              <w:rPr>
                <w:rFonts w:eastAsia="Times New Roman"/>
                <w:szCs w:val="24"/>
                <w:lang w:val="en-US"/>
              </w:rPr>
              <w:t>awerage</w:t>
            </w:r>
            <w:proofErr w:type="spellEnd"/>
            <w:r w:rsidRPr="0030041C">
              <w:rPr>
                <w:rFonts w:eastAsia="Times New Roman"/>
                <w:szCs w:val="24"/>
                <w:lang w:val="en-US"/>
              </w:rPr>
              <w:t xml:space="preserve"> MP in each </w:t>
            </w:r>
            <w:proofErr w:type="spellStart"/>
            <w:r w:rsidRPr="0030041C">
              <w:rPr>
                <w:rFonts w:eastAsia="Times New Roman"/>
                <w:szCs w:val="24"/>
                <w:lang w:val="en-US"/>
              </w:rPr>
              <w:t>aFRR</w:t>
            </w:r>
            <w:proofErr w:type="spellEnd"/>
            <w:r w:rsidRPr="0030041C">
              <w:rPr>
                <w:rFonts w:eastAsia="Times New Roman"/>
                <w:szCs w:val="24"/>
                <w:lang w:val="en-US"/>
              </w:rPr>
              <w:t xml:space="preserve"> bid validity period</w:t>
            </w:r>
            <w:r>
              <w:rPr>
                <w:rFonts w:eastAsia="Times New Roman"/>
                <w:szCs w:val="24"/>
                <w:lang w:val="en-US"/>
              </w:rPr>
              <w:t>;</w:t>
            </w:r>
          </w:p>
        </w:tc>
        <w:tc>
          <w:tcPr>
            <w:tcW w:w="3760" w:type="dxa"/>
          </w:tcPr>
          <w:p w14:paraId="63B59EFE" w14:textId="77777777" w:rsidR="00422A2A" w:rsidRDefault="00422A2A" w:rsidP="00422A2A">
            <w:pPr>
              <w:ind w:left="139" w:hanging="2"/>
              <w:jc w:val="both"/>
              <w:rPr>
                <w:rFonts w:ascii="Times New Roman" w:hAnsi="Times New Roman" w:cs="Times New Roman"/>
                <w:sz w:val="24"/>
                <w:szCs w:val="24"/>
              </w:rPr>
            </w:pPr>
            <w:proofErr w:type="spellStart"/>
            <w:r w:rsidRPr="008352C8">
              <w:rPr>
                <w:rFonts w:ascii="Times New Roman" w:hAnsi="Times New Roman" w:cs="Times New Roman"/>
                <w:sz w:val="24"/>
                <w:szCs w:val="24"/>
              </w:rPr>
              <w:t>aFRR</w:t>
            </w:r>
            <w:proofErr w:type="spellEnd"/>
            <w:r w:rsidRPr="008352C8">
              <w:rPr>
                <w:rFonts w:ascii="Times New Roman" w:hAnsi="Times New Roman" w:cs="Times New Roman"/>
                <w:sz w:val="24"/>
                <w:szCs w:val="24"/>
              </w:rPr>
              <w:t xml:space="preserve"> vidējā svērtā MP katrā </w:t>
            </w:r>
            <w:proofErr w:type="spellStart"/>
            <w:r w:rsidRPr="008352C8">
              <w:rPr>
                <w:rFonts w:ascii="Times New Roman" w:hAnsi="Times New Roman" w:cs="Times New Roman"/>
                <w:sz w:val="24"/>
                <w:szCs w:val="24"/>
              </w:rPr>
              <w:t>aFRR</w:t>
            </w:r>
            <w:proofErr w:type="spellEnd"/>
            <w:r w:rsidRPr="008352C8">
              <w:rPr>
                <w:rFonts w:ascii="Times New Roman" w:hAnsi="Times New Roman" w:cs="Times New Roman"/>
                <w:sz w:val="24"/>
                <w:szCs w:val="24"/>
              </w:rPr>
              <w:t xml:space="preserve"> solījumu derīguma periodā</w:t>
            </w:r>
            <w:r>
              <w:rPr>
                <w:rFonts w:ascii="Times New Roman" w:hAnsi="Times New Roman" w:cs="Times New Roman"/>
                <w:sz w:val="24"/>
                <w:szCs w:val="24"/>
              </w:rPr>
              <w:t>;</w:t>
            </w:r>
          </w:p>
          <w:p w14:paraId="76F48C68" w14:textId="77777777" w:rsidR="00422A2A" w:rsidRPr="008352C8" w:rsidRDefault="00422A2A" w:rsidP="005A43AF">
            <w:pPr>
              <w:ind w:left="139" w:hanging="2"/>
              <w:jc w:val="both"/>
              <w:rPr>
                <w:rFonts w:ascii="Times New Roman" w:hAnsi="Times New Roman" w:cs="Times New Roman"/>
                <w:sz w:val="24"/>
                <w:szCs w:val="24"/>
              </w:rPr>
            </w:pPr>
          </w:p>
        </w:tc>
      </w:tr>
      <w:tr w:rsidR="00F527BD" w14:paraId="07FFAFF1" w14:textId="77777777" w:rsidTr="00F527BD">
        <w:trPr>
          <w:trHeight w:val="980"/>
        </w:trPr>
        <w:tc>
          <w:tcPr>
            <w:tcW w:w="1276" w:type="dxa"/>
          </w:tcPr>
          <w:p w14:paraId="2B19B85E" w14:textId="77777777" w:rsidR="00422A2A" w:rsidRPr="00A67892" w:rsidRDefault="00422A2A" w:rsidP="00F527BD">
            <w:pPr>
              <w:pStyle w:val="Point0number"/>
              <w:numPr>
                <w:ilvl w:val="2"/>
                <w:numId w:val="91"/>
              </w:numPr>
              <w:spacing w:before="0" w:after="0"/>
              <w:rPr>
                <w:rFonts w:eastAsia="Times New Roman"/>
                <w:szCs w:val="24"/>
                <w:lang w:val="en-US"/>
              </w:rPr>
            </w:pPr>
          </w:p>
        </w:tc>
        <w:tc>
          <w:tcPr>
            <w:tcW w:w="3890" w:type="dxa"/>
          </w:tcPr>
          <w:p w14:paraId="0D80A8D5" w14:textId="57C491C9" w:rsidR="00422A2A" w:rsidRPr="00EE3432" w:rsidDel="000A2609" w:rsidRDefault="00422A2A" w:rsidP="00F527BD">
            <w:pPr>
              <w:pStyle w:val="Point0number"/>
              <w:numPr>
                <w:ilvl w:val="0"/>
                <w:numId w:val="0"/>
              </w:numPr>
              <w:spacing w:before="0" w:after="0"/>
              <w:rPr>
                <w:rFonts w:eastAsia="Times New Roman"/>
                <w:szCs w:val="24"/>
                <w:lang w:val="en-US"/>
              </w:rPr>
            </w:pPr>
            <w:r w:rsidRPr="00A67892">
              <w:rPr>
                <w:rFonts w:eastAsia="Times New Roman"/>
                <w:szCs w:val="24"/>
                <w:lang w:val="en-US"/>
              </w:rPr>
              <w:t>Cross border capacity limits (CBCL);</w:t>
            </w:r>
          </w:p>
        </w:tc>
        <w:tc>
          <w:tcPr>
            <w:tcW w:w="3760" w:type="dxa"/>
          </w:tcPr>
          <w:p w14:paraId="3F0C840B" w14:textId="77777777" w:rsidR="00422A2A" w:rsidRPr="008352C8" w:rsidRDefault="00422A2A" w:rsidP="005A43AF">
            <w:pPr>
              <w:ind w:left="3"/>
              <w:jc w:val="both"/>
              <w:rPr>
                <w:rFonts w:ascii="Times New Roman" w:hAnsi="Times New Roman" w:cs="Times New Roman"/>
                <w:sz w:val="24"/>
                <w:szCs w:val="24"/>
              </w:rPr>
            </w:pPr>
            <w:proofErr w:type="spellStart"/>
            <w:r w:rsidRPr="008352C8">
              <w:rPr>
                <w:rFonts w:ascii="Times New Roman" w:hAnsi="Times New Roman" w:cs="Times New Roman"/>
                <w:sz w:val="24"/>
                <w:szCs w:val="24"/>
              </w:rPr>
              <w:t>Starpzonas</w:t>
            </w:r>
            <w:proofErr w:type="spellEnd"/>
            <w:r w:rsidRPr="008352C8">
              <w:rPr>
                <w:rFonts w:ascii="Times New Roman" w:hAnsi="Times New Roman" w:cs="Times New Roman"/>
                <w:sz w:val="24"/>
                <w:szCs w:val="24"/>
              </w:rPr>
              <w:t xml:space="preserve"> jauda balansēšanas laika posmam (pārrobežu jaudas limiti – CBCL);</w:t>
            </w:r>
          </w:p>
          <w:p w14:paraId="1BD9A79B" w14:textId="47269744" w:rsidR="00422A2A" w:rsidRDefault="00422A2A" w:rsidP="005A43AF">
            <w:pPr>
              <w:ind w:left="570" w:hanging="567"/>
              <w:jc w:val="both"/>
              <w:rPr>
                <w:rFonts w:ascii="Times New Roman" w:hAnsi="Times New Roman" w:cs="Times New Roman"/>
                <w:sz w:val="24"/>
                <w:szCs w:val="24"/>
              </w:rPr>
            </w:pPr>
          </w:p>
        </w:tc>
      </w:tr>
      <w:tr w:rsidR="00F527BD" w14:paraId="02500E56" w14:textId="77777777" w:rsidTr="00F527BD">
        <w:trPr>
          <w:trHeight w:val="776"/>
        </w:trPr>
        <w:tc>
          <w:tcPr>
            <w:tcW w:w="1276" w:type="dxa"/>
          </w:tcPr>
          <w:p w14:paraId="0D7F5D9B" w14:textId="77777777" w:rsidR="00422A2A" w:rsidRPr="00BF4AF8" w:rsidRDefault="00422A2A" w:rsidP="00F527BD">
            <w:pPr>
              <w:pStyle w:val="Point0number"/>
              <w:numPr>
                <w:ilvl w:val="2"/>
                <w:numId w:val="91"/>
              </w:numPr>
              <w:spacing w:before="0" w:after="0"/>
              <w:rPr>
                <w:rFonts w:eastAsia="Times New Roman"/>
                <w:szCs w:val="24"/>
                <w:lang w:val="en-US"/>
              </w:rPr>
            </w:pPr>
          </w:p>
        </w:tc>
        <w:tc>
          <w:tcPr>
            <w:tcW w:w="3890" w:type="dxa"/>
          </w:tcPr>
          <w:p w14:paraId="770D60BA" w14:textId="14C2BAA7" w:rsidR="00422A2A" w:rsidRPr="00422A2A" w:rsidDel="000A2609" w:rsidRDefault="00422A2A" w:rsidP="00F527BD">
            <w:pPr>
              <w:pStyle w:val="Point0number"/>
              <w:numPr>
                <w:ilvl w:val="0"/>
                <w:numId w:val="0"/>
              </w:numPr>
              <w:spacing w:before="0" w:after="0"/>
              <w:rPr>
                <w:rFonts w:eastAsia="Times New Roman"/>
                <w:szCs w:val="24"/>
                <w:lang w:val="en-US"/>
              </w:rPr>
            </w:pPr>
            <w:r w:rsidRPr="00BF4AF8">
              <w:rPr>
                <w:rFonts w:eastAsia="Times New Roman"/>
                <w:szCs w:val="24"/>
                <w:lang w:val="en-US"/>
              </w:rPr>
              <w:t>netted and exchanged volumes from activation in MARI platform;</w:t>
            </w:r>
          </w:p>
        </w:tc>
        <w:tc>
          <w:tcPr>
            <w:tcW w:w="3760" w:type="dxa"/>
          </w:tcPr>
          <w:p w14:paraId="5744B7E7" w14:textId="0B8CE05E" w:rsidR="00422A2A" w:rsidRDefault="00422A2A" w:rsidP="005A43AF">
            <w:pPr>
              <w:jc w:val="both"/>
              <w:rPr>
                <w:rFonts w:ascii="Times New Roman" w:hAnsi="Times New Roman" w:cs="Times New Roman"/>
                <w:sz w:val="24"/>
                <w:szCs w:val="24"/>
              </w:rPr>
            </w:pPr>
            <w:r w:rsidRPr="008352C8">
              <w:rPr>
                <w:rFonts w:ascii="Times New Roman" w:hAnsi="Times New Roman" w:cs="Times New Roman"/>
                <w:sz w:val="24"/>
                <w:szCs w:val="24"/>
              </w:rPr>
              <w:t>Aktivizācijas pieprasījumu ieskaita un regulēšanas enerģijas apmaiņas apjoms MARI platformas darbības rezultātā;</w:t>
            </w:r>
          </w:p>
        </w:tc>
      </w:tr>
      <w:tr w:rsidR="00F527BD" w14:paraId="68A0506A" w14:textId="77777777" w:rsidTr="00F527BD">
        <w:trPr>
          <w:trHeight w:val="1025"/>
        </w:trPr>
        <w:tc>
          <w:tcPr>
            <w:tcW w:w="1276" w:type="dxa"/>
          </w:tcPr>
          <w:p w14:paraId="50B00773" w14:textId="77777777" w:rsidR="00422A2A" w:rsidRPr="00BF4AF8" w:rsidRDefault="00422A2A" w:rsidP="00F527BD">
            <w:pPr>
              <w:pStyle w:val="Point0number"/>
              <w:numPr>
                <w:ilvl w:val="2"/>
                <w:numId w:val="91"/>
              </w:numPr>
              <w:spacing w:before="0" w:after="0"/>
              <w:rPr>
                <w:rFonts w:eastAsia="Times New Roman"/>
                <w:szCs w:val="24"/>
                <w:lang w:val="en-US"/>
              </w:rPr>
            </w:pPr>
          </w:p>
        </w:tc>
        <w:tc>
          <w:tcPr>
            <w:tcW w:w="3890" w:type="dxa"/>
          </w:tcPr>
          <w:p w14:paraId="4E9509A1" w14:textId="6A36BAFA" w:rsidR="00422A2A" w:rsidRPr="00E77087" w:rsidRDefault="00422A2A" w:rsidP="00F527BD">
            <w:pPr>
              <w:pStyle w:val="Point0number"/>
              <w:numPr>
                <w:ilvl w:val="0"/>
                <w:numId w:val="0"/>
              </w:numPr>
              <w:spacing w:before="0" w:after="0"/>
              <w:rPr>
                <w:rFonts w:eastAsia="Times New Roman"/>
                <w:szCs w:val="24"/>
                <w:lang w:val="en-US"/>
              </w:rPr>
            </w:pPr>
            <w:r w:rsidRPr="00BF4AF8">
              <w:rPr>
                <w:rFonts w:eastAsia="Times New Roman"/>
                <w:szCs w:val="24"/>
                <w:lang w:val="en-US"/>
              </w:rPr>
              <w:t xml:space="preserve">netted and exchanged volumes from activation in </w:t>
            </w:r>
            <w:r>
              <w:rPr>
                <w:rFonts w:eastAsia="Times New Roman"/>
                <w:szCs w:val="24"/>
                <w:lang w:val="en-US"/>
              </w:rPr>
              <w:t>PICASSO</w:t>
            </w:r>
            <w:r w:rsidRPr="00BF4AF8">
              <w:rPr>
                <w:rFonts w:eastAsia="Times New Roman"/>
                <w:szCs w:val="24"/>
                <w:lang w:val="en-US"/>
              </w:rPr>
              <w:t xml:space="preserve"> platform;</w:t>
            </w:r>
            <w:r w:rsidRPr="00E77087">
              <w:rPr>
                <w:rFonts w:eastAsia="Times New Roman"/>
                <w:szCs w:val="24"/>
                <w:lang w:val="en-US"/>
              </w:rPr>
              <w:t xml:space="preserve"> </w:t>
            </w:r>
          </w:p>
        </w:tc>
        <w:tc>
          <w:tcPr>
            <w:tcW w:w="3760" w:type="dxa"/>
          </w:tcPr>
          <w:p w14:paraId="469F4ED6" w14:textId="534AC265" w:rsidR="00422A2A" w:rsidRDefault="00422A2A" w:rsidP="005A43AF">
            <w:pPr>
              <w:ind w:hanging="2"/>
              <w:jc w:val="both"/>
              <w:rPr>
                <w:rFonts w:ascii="Times New Roman" w:hAnsi="Times New Roman" w:cs="Times New Roman"/>
                <w:sz w:val="24"/>
                <w:szCs w:val="24"/>
              </w:rPr>
            </w:pPr>
            <w:r w:rsidRPr="008352C8">
              <w:rPr>
                <w:rFonts w:ascii="Times New Roman" w:hAnsi="Times New Roman" w:cs="Times New Roman"/>
                <w:sz w:val="24"/>
                <w:szCs w:val="24"/>
              </w:rPr>
              <w:t>Aktivizācijas pieprasījumu ieskaita un regulēšanas enerģijas apmaiņas apjoms PICASSO platformas darbības rezultātā;</w:t>
            </w:r>
          </w:p>
        </w:tc>
      </w:tr>
      <w:tr w:rsidR="00F527BD" w14:paraId="7612EEC8" w14:textId="77777777" w:rsidTr="00F527BD">
        <w:trPr>
          <w:trHeight w:val="700"/>
        </w:trPr>
        <w:tc>
          <w:tcPr>
            <w:tcW w:w="1276" w:type="dxa"/>
          </w:tcPr>
          <w:p w14:paraId="746860E1" w14:textId="77777777" w:rsidR="00422A2A" w:rsidRPr="00BF4AF8" w:rsidRDefault="00422A2A" w:rsidP="00F527BD">
            <w:pPr>
              <w:pStyle w:val="Point0number"/>
              <w:numPr>
                <w:ilvl w:val="2"/>
                <w:numId w:val="91"/>
              </w:numPr>
              <w:spacing w:before="0" w:after="0"/>
              <w:rPr>
                <w:rFonts w:eastAsia="Times New Roman"/>
                <w:szCs w:val="24"/>
                <w:lang w:val="en-US"/>
              </w:rPr>
            </w:pPr>
          </w:p>
        </w:tc>
        <w:tc>
          <w:tcPr>
            <w:tcW w:w="3890" w:type="dxa"/>
          </w:tcPr>
          <w:p w14:paraId="6B778C17" w14:textId="0C1A9F92" w:rsidR="00422A2A" w:rsidRPr="00422A2A" w:rsidRDefault="00422A2A" w:rsidP="00F527BD">
            <w:pPr>
              <w:pStyle w:val="Point0number"/>
              <w:numPr>
                <w:ilvl w:val="0"/>
                <w:numId w:val="0"/>
              </w:numPr>
              <w:spacing w:before="0" w:after="0"/>
              <w:rPr>
                <w:rFonts w:eastAsia="Times New Roman"/>
                <w:szCs w:val="24"/>
                <w:lang w:val="en-US"/>
              </w:rPr>
            </w:pPr>
            <w:r w:rsidRPr="00BF4AF8">
              <w:rPr>
                <w:rFonts w:eastAsia="Times New Roman"/>
                <w:szCs w:val="24"/>
                <w:lang w:val="en-US"/>
              </w:rPr>
              <w:t>Baltic TSO-TSO exchange;</w:t>
            </w:r>
          </w:p>
        </w:tc>
        <w:tc>
          <w:tcPr>
            <w:tcW w:w="3760" w:type="dxa"/>
          </w:tcPr>
          <w:p w14:paraId="64464005" w14:textId="741B9945" w:rsidR="00422A2A" w:rsidRDefault="00422A2A" w:rsidP="005A43AF">
            <w:pPr>
              <w:ind w:hanging="5"/>
              <w:jc w:val="both"/>
              <w:rPr>
                <w:rFonts w:ascii="Times New Roman" w:hAnsi="Times New Roman" w:cs="Times New Roman"/>
                <w:sz w:val="24"/>
                <w:szCs w:val="24"/>
              </w:rPr>
            </w:pPr>
            <w:r w:rsidRPr="008352C8">
              <w:rPr>
                <w:rFonts w:ascii="Times New Roman" w:hAnsi="Times New Roman" w:cs="Times New Roman"/>
                <w:sz w:val="24"/>
                <w:szCs w:val="24"/>
              </w:rPr>
              <w:t>Baltijas PSO-PSO regulēšanas enerģijas apmaiņas apjoms;</w:t>
            </w:r>
          </w:p>
        </w:tc>
      </w:tr>
      <w:tr w:rsidR="00F527BD" w14:paraId="7785996B" w14:textId="77777777" w:rsidTr="00F527BD">
        <w:trPr>
          <w:trHeight w:val="979"/>
        </w:trPr>
        <w:tc>
          <w:tcPr>
            <w:tcW w:w="1276" w:type="dxa"/>
          </w:tcPr>
          <w:p w14:paraId="7C3B6BEB" w14:textId="77777777" w:rsidR="00422A2A" w:rsidRPr="00E77087" w:rsidRDefault="00422A2A" w:rsidP="00F527BD">
            <w:pPr>
              <w:pStyle w:val="Point0number"/>
              <w:numPr>
                <w:ilvl w:val="2"/>
                <w:numId w:val="91"/>
              </w:numPr>
              <w:spacing w:before="0" w:after="0"/>
              <w:rPr>
                <w:rFonts w:eastAsia="Times New Roman"/>
                <w:szCs w:val="24"/>
                <w:lang w:val="en-US"/>
              </w:rPr>
            </w:pPr>
          </w:p>
        </w:tc>
        <w:tc>
          <w:tcPr>
            <w:tcW w:w="3890" w:type="dxa"/>
          </w:tcPr>
          <w:p w14:paraId="465AE08D" w14:textId="63598475" w:rsidR="00422A2A" w:rsidRPr="00E77087" w:rsidRDefault="00422A2A" w:rsidP="00F527BD">
            <w:pPr>
              <w:pStyle w:val="Point0number"/>
              <w:numPr>
                <w:ilvl w:val="0"/>
                <w:numId w:val="0"/>
              </w:numPr>
              <w:spacing w:before="0" w:after="0"/>
              <w:rPr>
                <w:rFonts w:eastAsia="Times New Roman"/>
                <w:szCs w:val="24"/>
                <w:lang w:val="en-US"/>
              </w:rPr>
            </w:pPr>
            <w:r w:rsidRPr="00E77087">
              <w:rPr>
                <w:rFonts w:eastAsia="Times New Roman"/>
                <w:szCs w:val="24"/>
                <w:lang w:val="en-US"/>
              </w:rPr>
              <w:t xml:space="preserve">Total </w:t>
            </w:r>
            <w:proofErr w:type="spellStart"/>
            <w:r w:rsidRPr="00E77087">
              <w:rPr>
                <w:rFonts w:eastAsia="Times New Roman"/>
                <w:szCs w:val="24"/>
                <w:lang w:val="en-US"/>
              </w:rPr>
              <w:t>mFRR</w:t>
            </w:r>
            <w:proofErr w:type="spellEnd"/>
            <w:r w:rsidRPr="00E77087">
              <w:rPr>
                <w:rFonts w:eastAsia="Times New Roman"/>
                <w:szCs w:val="24"/>
                <w:lang w:val="en-US"/>
              </w:rPr>
              <w:t xml:space="preserve"> activation demand covered by control </w:t>
            </w:r>
            <w:r>
              <w:rPr>
                <w:rFonts w:eastAsia="Times New Roman"/>
                <w:szCs w:val="24"/>
                <w:lang w:val="en-US"/>
              </w:rPr>
              <w:t>zone</w:t>
            </w:r>
            <w:r w:rsidRPr="00E77087">
              <w:rPr>
                <w:rFonts w:eastAsia="Times New Roman"/>
                <w:szCs w:val="24"/>
                <w:lang w:val="en-US"/>
              </w:rPr>
              <w:t xml:space="preserve"> TSO.</w:t>
            </w:r>
          </w:p>
        </w:tc>
        <w:tc>
          <w:tcPr>
            <w:tcW w:w="3760" w:type="dxa"/>
          </w:tcPr>
          <w:p w14:paraId="31C813BE" w14:textId="77777777" w:rsidR="00422A2A" w:rsidRPr="008352C8" w:rsidRDefault="00422A2A" w:rsidP="005A43AF">
            <w:pPr>
              <w:jc w:val="both"/>
              <w:rPr>
                <w:rFonts w:ascii="Times New Roman" w:hAnsi="Times New Roman" w:cs="Times New Roman"/>
                <w:sz w:val="24"/>
                <w:szCs w:val="24"/>
              </w:rPr>
            </w:pPr>
            <w:r w:rsidRPr="008352C8">
              <w:rPr>
                <w:rFonts w:ascii="Times New Roman" w:hAnsi="Times New Roman" w:cs="Times New Roman"/>
                <w:sz w:val="24"/>
                <w:szCs w:val="24"/>
              </w:rPr>
              <w:t xml:space="preserve">Kopējais kontroles zonas PSO nosegtais </w:t>
            </w:r>
            <w:proofErr w:type="spellStart"/>
            <w:r w:rsidRPr="008352C8">
              <w:rPr>
                <w:rFonts w:ascii="Times New Roman" w:hAnsi="Times New Roman" w:cs="Times New Roman"/>
                <w:sz w:val="24"/>
                <w:szCs w:val="24"/>
              </w:rPr>
              <w:t>mFRR</w:t>
            </w:r>
            <w:proofErr w:type="spellEnd"/>
            <w:r w:rsidRPr="008352C8">
              <w:rPr>
                <w:rFonts w:ascii="Times New Roman" w:hAnsi="Times New Roman" w:cs="Times New Roman"/>
                <w:sz w:val="24"/>
                <w:szCs w:val="24"/>
              </w:rPr>
              <w:t xml:space="preserve"> aktivizācijas pieprasījums.</w:t>
            </w:r>
          </w:p>
          <w:p w14:paraId="276562A2" w14:textId="5F5F1E3D" w:rsidR="00422A2A" w:rsidRDefault="00422A2A" w:rsidP="005A43AF">
            <w:pPr>
              <w:ind w:left="570" w:hanging="567"/>
              <w:jc w:val="both"/>
              <w:rPr>
                <w:rFonts w:ascii="Times New Roman" w:hAnsi="Times New Roman" w:cs="Times New Roman"/>
                <w:sz w:val="24"/>
                <w:szCs w:val="24"/>
              </w:rPr>
            </w:pPr>
          </w:p>
        </w:tc>
      </w:tr>
      <w:tr w:rsidR="00F527BD" w14:paraId="22409499" w14:textId="77777777" w:rsidTr="00F527BD">
        <w:trPr>
          <w:trHeight w:val="1622"/>
        </w:trPr>
        <w:tc>
          <w:tcPr>
            <w:tcW w:w="1276" w:type="dxa"/>
          </w:tcPr>
          <w:p w14:paraId="620970A0" w14:textId="77777777" w:rsidR="00422A2A" w:rsidRPr="00E77087" w:rsidRDefault="00422A2A" w:rsidP="00F527BD">
            <w:pPr>
              <w:pStyle w:val="Point0number"/>
              <w:numPr>
                <w:ilvl w:val="2"/>
                <w:numId w:val="91"/>
              </w:numPr>
              <w:spacing w:before="0" w:after="0"/>
              <w:rPr>
                <w:rFonts w:eastAsia="Times New Roman"/>
                <w:szCs w:val="24"/>
                <w:lang w:val="en-US"/>
              </w:rPr>
            </w:pPr>
          </w:p>
        </w:tc>
        <w:tc>
          <w:tcPr>
            <w:tcW w:w="3890" w:type="dxa"/>
          </w:tcPr>
          <w:p w14:paraId="76873595" w14:textId="0EA81A66" w:rsidR="00422A2A" w:rsidRPr="0030041C" w:rsidRDefault="00422A2A" w:rsidP="00F527BD">
            <w:pPr>
              <w:pStyle w:val="Point0number"/>
              <w:numPr>
                <w:ilvl w:val="0"/>
                <w:numId w:val="0"/>
              </w:numPr>
              <w:spacing w:before="0" w:after="0"/>
              <w:rPr>
                <w:rFonts w:eastAsia="Times New Roman"/>
                <w:szCs w:val="24"/>
                <w:lang w:val="en-US"/>
              </w:rPr>
            </w:pPr>
            <w:r w:rsidRPr="00E77087">
              <w:rPr>
                <w:rFonts w:eastAsia="Times New Roman"/>
                <w:szCs w:val="24"/>
                <w:lang w:val="en-US"/>
              </w:rPr>
              <w:t xml:space="preserve">Total </w:t>
            </w:r>
            <w:proofErr w:type="spellStart"/>
            <w:r w:rsidRPr="00E77087">
              <w:rPr>
                <w:rFonts w:eastAsia="Times New Roman"/>
                <w:szCs w:val="24"/>
                <w:lang w:val="en-US"/>
              </w:rPr>
              <w:t>aFRR</w:t>
            </w:r>
            <w:proofErr w:type="spellEnd"/>
            <w:r w:rsidRPr="00E77087">
              <w:rPr>
                <w:rFonts w:eastAsia="Times New Roman"/>
                <w:szCs w:val="24"/>
                <w:lang w:val="en-US"/>
              </w:rPr>
              <w:t xml:space="preserve"> activation demand covered by the control </w:t>
            </w:r>
            <w:r>
              <w:rPr>
                <w:rFonts w:eastAsia="Times New Roman"/>
                <w:szCs w:val="24"/>
                <w:lang w:val="en-US"/>
              </w:rPr>
              <w:t>zone</w:t>
            </w:r>
            <w:r w:rsidRPr="00E77087">
              <w:rPr>
                <w:rFonts w:eastAsia="Times New Roman"/>
                <w:szCs w:val="24"/>
                <w:lang w:val="en-US"/>
              </w:rPr>
              <w:t xml:space="preserve"> TSO.</w:t>
            </w:r>
          </w:p>
        </w:tc>
        <w:tc>
          <w:tcPr>
            <w:tcW w:w="3760" w:type="dxa"/>
          </w:tcPr>
          <w:p w14:paraId="3C1F9269" w14:textId="5F17FAA0" w:rsidR="00422A2A" w:rsidRDefault="00422A2A" w:rsidP="005A43AF">
            <w:pPr>
              <w:jc w:val="both"/>
              <w:rPr>
                <w:rFonts w:ascii="Times New Roman" w:hAnsi="Times New Roman" w:cs="Times New Roman"/>
                <w:sz w:val="24"/>
                <w:szCs w:val="24"/>
              </w:rPr>
            </w:pPr>
            <w:r w:rsidRPr="008352C8">
              <w:rPr>
                <w:rFonts w:ascii="Times New Roman" w:hAnsi="Times New Roman" w:cs="Times New Roman"/>
                <w:sz w:val="24"/>
                <w:szCs w:val="24"/>
              </w:rPr>
              <w:t xml:space="preserve">Kopējais kontroles zonas PSO nosegtais </w:t>
            </w:r>
            <w:proofErr w:type="spellStart"/>
            <w:r w:rsidRPr="008352C8">
              <w:rPr>
                <w:rFonts w:ascii="Times New Roman" w:hAnsi="Times New Roman" w:cs="Times New Roman"/>
                <w:sz w:val="24"/>
                <w:szCs w:val="24"/>
              </w:rPr>
              <w:t>aFRR</w:t>
            </w:r>
            <w:proofErr w:type="spellEnd"/>
            <w:r w:rsidRPr="008352C8">
              <w:rPr>
                <w:rFonts w:ascii="Times New Roman" w:hAnsi="Times New Roman" w:cs="Times New Roman"/>
                <w:sz w:val="24"/>
                <w:szCs w:val="24"/>
              </w:rPr>
              <w:t xml:space="preserve"> aktivizācijas pieprasījums.</w:t>
            </w:r>
          </w:p>
        </w:tc>
      </w:tr>
      <w:bookmarkEnd w:id="0"/>
    </w:tbl>
    <w:p w14:paraId="7D605566" w14:textId="0A4EB156" w:rsidR="00A161EF" w:rsidRPr="00941DA8" w:rsidRDefault="00A161EF" w:rsidP="005A43AF">
      <w:pPr>
        <w:pStyle w:val="ListParagraph"/>
        <w:spacing w:after="0" w:line="240" w:lineRule="auto"/>
        <w:contextualSpacing w:val="0"/>
        <w:jc w:val="both"/>
        <w:rPr>
          <w:rFonts w:ascii="Times New Roman" w:hAnsi="Times New Roman" w:cs="Times New Roman"/>
          <w:sz w:val="24"/>
          <w:szCs w:val="24"/>
        </w:rPr>
      </w:pPr>
    </w:p>
    <w:sectPr w:rsidR="00A161EF" w:rsidRPr="00941DA8">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2D03" w14:textId="77777777" w:rsidR="00331AD7" w:rsidRDefault="00331AD7">
      <w:pPr>
        <w:spacing w:after="0" w:line="240" w:lineRule="auto"/>
      </w:pPr>
      <w:r>
        <w:separator/>
      </w:r>
    </w:p>
  </w:endnote>
  <w:endnote w:type="continuationSeparator" w:id="0">
    <w:p w14:paraId="06C27DB1" w14:textId="77777777" w:rsidR="00331AD7" w:rsidRDefault="00331AD7">
      <w:pPr>
        <w:spacing w:after="0" w:line="240" w:lineRule="auto"/>
      </w:pPr>
      <w:r>
        <w:continuationSeparator/>
      </w:r>
    </w:p>
  </w:endnote>
  <w:endnote w:type="continuationNotice" w:id="1">
    <w:p w14:paraId="715C4F4B" w14:textId="77777777" w:rsidR="00331AD7" w:rsidRDefault="00331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7F0E" w14:textId="77777777" w:rsidR="007565A4" w:rsidRDefault="003D3AC9">
    <w:pPr>
      <w:jc w:val="center"/>
    </w:pPr>
    <w:r>
      <w:rPr>
        <w:rFonts w:ascii="Calibri" w:eastAsia="Calibri" w:hAnsi="Calibri" w:cs="Calibri"/>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215C" w14:textId="77777777" w:rsidR="007565A4" w:rsidRDefault="003D3AC9">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061C9" w14:textId="77777777" w:rsidR="00331AD7" w:rsidRDefault="00331AD7">
      <w:pPr>
        <w:spacing w:after="0" w:line="240" w:lineRule="auto"/>
      </w:pPr>
      <w:r>
        <w:separator/>
      </w:r>
    </w:p>
  </w:footnote>
  <w:footnote w:type="continuationSeparator" w:id="0">
    <w:p w14:paraId="69BABBD9" w14:textId="77777777" w:rsidR="00331AD7" w:rsidRDefault="00331AD7">
      <w:pPr>
        <w:spacing w:after="0" w:line="240" w:lineRule="auto"/>
      </w:pPr>
      <w:r>
        <w:continuationSeparator/>
      </w:r>
    </w:p>
  </w:footnote>
  <w:footnote w:type="continuationNotice" w:id="1">
    <w:p w14:paraId="1F85E004" w14:textId="77777777" w:rsidR="00331AD7" w:rsidRDefault="00331A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D0F"/>
    <w:multiLevelType w:val="multilevel"/>
    <w:tmpl w:val="4664ECFA"/>
    <w:lvl w:ilvl="0">
      <w:start w:val="7"/>
      <w:numFmt w:val="decimal"/>
      <w:lvlText w:val="%1."/>
      <w:lvlJc w:val="left"/>
      <w:pPr>
        <w:ind w:left="540" w:hanging="540"/>
      </w:pPr>
      <w:rPr>
        <w:rFonts w:hint="default"/>
      </w:rPr>
    </w:lvl>
    <w:lvl w:ilvl="1">
      <w:start w:val="8"/>
      <w:numFmt w:val="decimal"/>
      <w:lvlText w:val="%1.%2."/>
      <w:lvlJc w:val="left"/>
      <w:pPr>
        <w:ind w:left="1121" w:hanging="54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 w15:restartNumberingAfterBreak="0">
    <w:nsid w:val="04AD1380"/>
    <w:multiLevelType w:val="hybridMultilevel"/>
    <w:tmpl w:val="7A70768A"/>
    <w:lvl w:ilvl="0" w:tplc="B76C4D32">
      <w:start w:val="1"/>
      <w:numFmt w:val="bullet"/>
      <w:pStyle w:val="Bullet01"/>
      <w:lvlText w:val=""/>
      <w:lvlJc w:val="left"/>
      <w:pPr>
        <w:ind w:left="530" w:hanging="360"/>
      </w:pPr>
      <w:rPr>
        <w:rFonts w:ascii="Wingdings" w:hAnsi="Wingdings" w:hint="default"/>
      </w:rPr>
    </w:lvl>
    <w:lvl w:ilvl="1" w:tplc="EBC43C46">
      <w:start w:val="1"/>
      <w:numFmt w:val="bullet"/>
      <w:lvlText w:val="o"/>
      <w:lvlJc w:val="left"/>
      <w:pPr>
        <w:ind w:left="1440" w:hanging="360"/>
      </w:pPr>
      <w:rPr>
        <w:rFonts w:ascii="Courier New" w:hAnsi="Courier New" w:cs="Courier New" w:hint="default"/>
      </w:rPr>
    </w:lvl>
    <w:lvl w:ilvl="2" w:tplc="9EB2BF26">
      <w:start w:val="1"/>
      <w:numFmt w:val="bullet"/>
      <w:lvlText w:val=""/>
      <w:lvlJc w:val="left"/>
      <w:pPr>
        <w:ind w:left="2160" w:hanging="360"/>
      </w:pPr>
      <w:rPr>
        <w:rFonts w:ascii="Wingdings" w:hAnsi="Wingdings" w:hint="default"/>
      </w:rPr>
    </w:lvl>
    <w:lvl w:ilvl="3" w:tplc="9420F280" w:tentative="1">
      <w:start w:val="1"/>
      <w:numFmt w:val="bullet"/>
      <w:lvlText w:val=""/>
      <w:lvlJc w:val="left"/>
      <w:pPr>
        <w:ind w:left="2880" w:hanging="360"/>
      </w:pPr>
      <w:rPr>
        <w:rFonts w:ascii="Symbol" w:hAnsi="Symbol" w:hint="default"/>
      </w:rPr>
    </w:lvl>
    <w:lvl w:ilvl="4" w:tplc="B470B0DE" w:tentative="1">
      <w:start w:val="1"/>
      <w:numFmt w:val="bullet"/>
      <w:lvlText w:val="o"/>
      <w:lvlJc w:val="left"/>
      <w:pPr>
        <w:ind w:left="3600" w:hanging="360"/>
      </w:pPr>
      <w:rPr>
        <w:rFonts w:ascii="Courier New" w:hAnsi="Courier New" w:cs="Courier New" w:hint="default"/>
      </w:rPr>
    </w:lvl>
    <w:lvl w:ilvl="5" w:tplc="B80E891E" w:tentative="1">
      <w:start w:val="1"/>
      <w:numFmt w:val="bullet"/>
      <w:lvlText w:val=""/>
      <w:lvlJc w:val="left"/>
      <w:pPr>
        <w:ind w:left="4320" w:hanging="360"/>
      </w:pPr>
      <w:rPr>
        <w:rFonts w:ascii="Wingdings" w:hAnsi="Wingdings" w:hint="default"/>
      </w:rPr>
    </w:lvl>
    <w:lvl w:ilvl="6" w:tplc="DE949008" w:tentative="1">
      <w:start w:val="1"/>
      <w:numFmt w:val="bullet"/>
      <w:lvlText w:val=""/>
      <w:lvlJc w:val="left"/>
      <w:pPr>
        <w:ind w:left="5040" w:hanging="360"/>
      </w:pPr>
      <w:rPr>
        <w:rFonts w:ascii="Symbol" w:hAnsi="Symbol" w:hint="default"/>
      </w:rPr>
    </w:lvl>
    <w:lvl w:ilvl="7" w:tplc="2C8A2CB0" w:tentative="1">
      <w:start w:val="1"/>
      <w:numFmt w:val="bullet"/>
      <w:lvlText w:val="o"/>
      <w:lvlJc w:val="left"/>
      <w:pPr>
        <w:ind w:left="5760" w:hanging="360"/>
      </w:pPr>
      <w:rPr>
        <w:rFonts w:ascii="Courier New" w:hAnsi="Courier New" w:cs="Courier New" w:hint="default"/>
      </w:rPr>
    </w:lvl>
    <w:lvl w:ilvl="8" w:tplc="D51AD3EC" w:tentative="1">
      <w:start w:val="1"/>
      <w:numFmt w:val="bullet"/>
      <w:lvlText w:val=""/>
      <w:lvlJc w:val="left"/>
      <w:pPr>
        <w:ind w:left="6480" w:hanging="360"/>
      </w:pPr>
      <w:rPr>
        <w:rFonts w:ascii="Wingdings" w:hAnsi="Wingdings" w:hint="default"/>
      </w:rPr>
    </w:lvl>
  </w:abstractNum>
  <w:abstractNum w:abstractNumId="2" w15:restartNumberingAfterBreak="0">
    <w:nsid w:val="04D457C2"/>
    <w:multiLevelType w:val="multilevel"/>
    <w:tmpl w:val="E49E1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6012D"/>
    <w:multiLevelType w:val="multilevel"/>
    <w:tmpl w:val="9BE630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B7E7C"/>
    <w:multiLevelType w:val="multilevel"/>
    <w:tmpl w:val="6EE0EDEC"/>
    <w:lvl w:ilvl="0">
      <w:start w:val="4"/>
      <w:numFmt w:val="decimal"/>
      <w:lvlText w:val="%1."/>
      <w:lvlJc w:val="left"/>
      <w:pPr>
        <w:ind w:left="360" w:hanging="360"/>
      </w:pPr>
      <w:rPr>
        <w:rFonts w:hint="default"/>
        <w:b/>
        <w:bCs/>
        <w:color w:val="auto"/>
      </w:rPr>
    </w:lvl>
    <w:lvl w:ilvl="1">
      <w:start w:val="1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146A3"/>
    <w:multiLevelType w:val="multilevel"/>
    <w:tmpl w:val="D21890B0"/>
    <w:lvl w:ilvl="0">
      <w:start w:val="8"/>
      <w:numFmt w:val="decimal"/>
      <w:lvlText w:val="%1."/>
      <w:lvlJc w:val="left"/>
      <w:pPr>
        <w:ind w:left="360" w:hanging="360"/>
      </w:pPr>
      <w:rPr>
        <w:rFonts w:hint="default"/>
      </w:rPr>
    </w:lvl>
    <w:lvl w:ilvl="1">
      <w:start w:val="1"/>
      <w:numFmt w:val="decimal"/>
      <w:lvlText w:val="%1.%2."/>
      <w:lvlJc w:val="left"/>
      <w:pPr>
        <w:ind w:left="530" w:hanging="360"/>
      </w:pPr>
      <w:rPr>
        <w:rFonts w:hint="default"/>
        <w:b w:val="0"/>
        <w:bCs w:val="0"/>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0F9D3972"/>
    <w:multiLevelType w:val="multilevel"/>
    <w:tmpl w:val="3934E18A"/>
    <w:lvl w:ilvl="0">
      <w:start w:val="6"/>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720" w:hanging="720"/>
      </w:pPr>
      <w:rPr>
        <w:rFonts w:ascii="Times New Roman" w:eastAsia="SimSun" w:hAnsi="Times New Roman" w:cs="Times New Roman" w:hint="default"/>
      </w:rPr>
    </w:lvl>
    <w:lvl w:ilvl="2">
      <w:start w:val="1"/>
      <w:numFmt w:val="decimal"/>
      <w:lvlText w:val="%1.%2.%3."/>
      <w:lvlJc w:val="left"/>
      <w:pPr>
        <w:ind w:left="720" w:hanging="720"/>
      </w:pPr>
      <w:rPr>
        <w:rFonts w:ascii="Times New Roman" w:eastAsia="SimSun" w:hAnsi="Times New Roman" w:cs="Times New Roman" w:hint="default"/>
      </w:rPr>
    </w:lvl>
    <w:lvl w:ilvl="3">
      <w:start w:val="1"/>
      <w:numFmt w:val="decimal"/>
      <w:lvlText w:val="%1.%2.%3.%4."/>
      <w:lvlJc w:val="left"/>
      <w:pPr>
        <w:ind w:left="1080" w:hanging="1080"/>
      </w:pPr>
      <w:rPr>
        <w:rFonts w:ascii="Times New Roman" w:eastAsia="SimSun" w:hAnsi="Times New Roman" w:cs="Times New Roman" w:hint="default"/>
      </w:rPr>
    </w:lvl>
    <w:lvl w:ilvl="4">
      <w:start w:val="1"/>
      <w:numFmt w:val="decimal"/>
      <w:lvlText w:val="%1.%2.%3.%4.%5."/>
      <w:lvlJc w:val="left"/>
      <w:pPr>
        <w:ind w:left="1080" w:hanging="1080"/>
      </w:pPr>
      <w:rPr>
        <w:rFonts w:ascii="Times New Roman" w:eastAsia="SimSun" w:hAnsi="Times New Roman" w:cs="Times New Roman" w:hint="default"/>
      </w:rPr>
    </w:lvl>
    <w:lvl w:ilvl="5">
      <w:start w:val="1"/>
      <w:numFmt w:val="decimal"/>
      <w:lvlText w:val="%1.%2.%3.%4.%5.%6."/>
      <w:lvlJc w:val="left"/>
      <w:pPr>
        <w:ind w:left="1440" w:hanging="1440"/>
      </w:pPr>
      <w:rPr>
        <w:rFonts w:ascii="Times New Roman" w:eastAsia="SimSun" w:hAnsi="Times New Roman" w:cs="Times New Roman" w:hint="default"/>
      </w:rPr>
    </w:lvl>
    <w:lvl w:ilvl="6">
      <w:start w:val="1"/>
      <w:numFmt w:val="decimal"/>
      <w:lvlText w:val="%1.%2.%3.%4.%5.%6.%7."/>
      <w:lvlJc w:val="left"/>
      <w:pPr>
        <w:ind w:left="1440" w:hanging="1440"/>
      </w:pPr>
      <w:rPr>
        <w:rFonts w:ascii="Times New Roman" w:eastAsia="SimSun" w:hAnsi="Times New Roman" w:cs="Times New Roman" w:hint="default"/>
      </w:rPr>
    </w:lvl>
    <w:lvl w:ilvl="7">
      <w:start w:val="1"/>
      <w:numFmt w:val="decimal"/>
      <w:lvlText w:val="%1.%2.%3.%4.%5.%6.%7.%8."/>
      <w:lvlJc w:val="left"/>
      <w:pPr>
        <w:ind w:left="1800" w:hanging="1800"/>
      </w:pPr>
      <w:rPr>
        <w:rFonts w:ascii="Times New Roman" w:eastAsia="SimSun" w:hAnsi="Times New Roman" w:cs="Times New Roman" w:hint="default"/>
      </w:rPr>
    </w:lvl>
    <w:lvl w:ilvl="8">
      <w:start w:val="1"/>
      <w:numFmt w:val="decimal"/>
      <w:lvlText w:val="%1.%2.%3.%4.%5.%6.%7.%8.%9."/>
      <w:lvlJc w:val="left"/>
      <w:pPr>
        <w:ind w:left="2160" w:hanging="2160"/>
      </w:pPr>
      <w:rPr>
        <w:rFonts w:ascii="Times New Roman" w:eastAsia="SimSun" w:hAnsi="Times New Roman" w:cs="Times New Roman" w:hint="default"/>
      </w:rPr>
    </w:lvl>
  </w:abstractNum>
  <w:abstractNum w:abstractNumId="7" w15:restartNumberingAfterBreak="0">
    <w:nsid w:val="1ACE0C88"/>
    <w:multiLevelType w:val="multilevel"/>
    <w:tmpl w:val="4238B49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C78B8"/>
    <w:multiLevelType w:val="multilevel"/>
    <w:tmpl w:val="20F2656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E83BFC"/>
    <w:multiLevelType w:val="multilevel"/>
    <w:tmpl w:val="D0F00444"/>
    <w:lvl w:ilvl="0">
      <w:start w:val="7"/>
      <w:numFmt w:val="decimal"/>
      <w:lvlText w:val="%1."/>
      <w:lvlJc w:val="left"/>
      <w:pPr>
        <w:ind w:left="540" w:hanging="540"/>
      </w:pPr>
      <w:rPr>
        <w:rFonts w:hint="default"/>
      </w:rPr>
    </w:lvl>
    <w:lvl w:ilvl="1">
      <w:start w:val="6"/>
      <w:numFmt w:val="decimal"/>
      <w:lvlText w:val="%1.%2."/>
      <w:lvlJc w:val="left"/>
      <w:pPr>
        <w:ind w:left="1121" w:hanging="54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0" w15:restartNumberingAfterBreak="0">
    <w:nsid w:val="22E44180"/>
    <w:multiLevelType w:val="multilevel"/>
    <w:tmpl w:val="A6CC8EB4"/>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005A33"/>
    <w:multiLevelType w:val="multilevel"/>
    <w:tmpl w:val="3708A7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25729"/>
    <w:multiLevelType w:val="multilevel"/>
    <w:tmpl w:val="341693B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A6CDA"/>
    <w:multiLevelType w:val="multilevel"/>
    <w:tmpl w:val="4664ECFA"/>
    <w:lvl w:ilvl="0">
      <w:start w:val="7"/>
      <w:numFmt w:val="decimal"/>
      <w:lvlText w:val="%1."/>
      <w:lvlJc w:val="left"/>
      <w:pPr>
        <w:ind w:left="540" w:hanging="540"/>
      </w:pPr>
      <w:rPr>
        <w:rFonts w:hint="default"/>
      </w:rPr>
    </w:lvl>
    <w:lvl w:ilvl="1">
      <w:start w:val="8"/>
      <w:numFmt w:val="decimal"/>
      <w:lvlText w:val="%1.%2."/>
      <w:lvlJc w:val="left"/>
      <w:pPr>
        <w:ind w:left="1121" w:hanging="54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4" w15:restartNumberingAfterBreak="0">
    <w:nsid w:val="2EC03416"/>
    <w:multiLevelType w:val="multilevel"/>
    <w:tmpl w:val="E5EADD20"/>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F2E44E0"/>
    <w:multiLevelType w:val="multilevel"/>
    <w:tmpl w:val="FE1AECE2"/>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39121F"/>
    <w:multiLevelType w:val="multilevel"/>
    <w:tmpl w:val="A5982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29A6B61"/>
    <w:multiLevelType w:val="multilevel"/>
    <w:tmpl w:val="48ECDF3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473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C11055"/>
    <w:multiLevelType w:val="multilevel"/>
    <w:tmpl w:val="7FE6FBB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9670C2"/>
    <w:multiLevelType w:val="multilevel"/>
    <w:tmpl w:val="1632EE54"/>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370A40FB"/>
    <w:multiLevelType w:val="multilevel"/>
    <w:tmpl w:val="4664ECFA"/>
    <w:lvl w:ilvl="0">
      <w:start w:val="7"/>
      <w:numFmt w:val="decimal"/>
      <w:lvlText w:val="%1."/>
      <w:lvlJc w:val="left"/>
      <w:pPr>
        <w:ind w:left="540" w:hanging="540"/>
      </w:pPr>
      <w:rPr>
        <w:rFonts w:hint="default"/>
      </w:rPr>
    </w:lvl>
    <w:lvl w:ilvl="1">
      <w:start w:val="8"/>
      <w:numFmt w:val="decimal"/>
      <w:lvlText w:val="%1.%2."/>
      <w:lvlJc w:val="left"/>
      <w:pPr>
        <w:ind w:left="1121"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15:restartNumberingAfterBreak="0">
    <w:nsid w:val="38374BF7"/>
    <w:multiLevelType w:val="multilevel"/>
    <w:tmpl w:val="EDCEAF4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30370"/>
    <w:multiLevelType w:val="multilevel"/>
    <w:tmpl w:val="FCBA04F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206A2F"/>
    <w:multiLevelType w:val="multilevel"/>
    <w:tmpl w:val="A394D56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F8371C"/>
    <w:multiLevelType w:val="multilevel"/>
    <w:tmpl w:val="4DF4FA50"/>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B68CC"/>
    <w:multiLevelType w:val="hybridMultilevel"/>
    <w:tmpl w:val="3AA8A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8702AA"/>
    <w:multiLevelType w:val="multilevel"/>
    <w:tmpl w:val="A8729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E34480"/>
    <w:multiLevelType w:val="multilevel"/>
    <w:tmpl w:val="60F4E81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294302"/>
    <w:multiLevelType w:val="multilevel"/>
    <w:tmpl w:val="2C58B2A0"/>
    <w:lvl w:ilvl="0">
      <w:start w:val="8"/>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0216057"/>
    <w:multiLevelType w:val="multilevel"/>
    <w:tmpl w:val="6F5CB254"/>
    <w:lvl w:ilvl="0">
      <w:start w:val="8"/>
      <w:numFmt w:val="decimal"/>
      <w:lvlText w:val="%1."/>
      <w:lvlJc w:val="left"/>
      <w:pPr>
        <w:ind w:left="360" w:hanging="360"/>
      </w:pPr>
      <w:rPr>
        <w:rFonts w:hint="default"/>
      </w:rPr>
    </w:lvl>
    <w:lvl w:ilvl="1">
      <w:start w:val="1"/>
      <w:numFmt w:val="decimal"/>
      <w:lvlText w:val="%1.%2."/>
      <w:lvlJc w:val="left"/>
      <w:pPr>
        <w:ind w:left="530" w:hanging="360"/>
      </w:pPr>
      <w:rPr>
        <w:rFonts w:hint="default"/>
        <w:b w:val="0"/>
        <w:bCs w:val="0"/>
      </w:rPr>
    </w:lvl>
    <w:lvl w:ilvl="2">
      <w:start w:val="1"/>
      <w:numFmt w:val="decimal"/>
      <w:lvlText w:val="%1.%2.%3."/>
      <w:lvlJc w:val="left"/>
      <w:pPr>
        <w:ind w:left="1060" w:hanging="720"/>
      </w:pPr>
      <w:rPr>
        <w:rFonts w:hint="default"/>
        <w:b w:val="0"/>
        <w:bCs w:val="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1" w15:restartNumberingAfterBreak="0">
    <w:nsid w:val="4170393B"/>
    <w:multiLevelType w:val="multilevel"/>
    <w:tmpl w:val="C9181354"/>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43A5566C"/>
    <w:multiLevelType w:val="multilevel"/>
    <w:tmpl w:val="99B8B9C6"/>
    <w:lvl w:ilvl="0">
      <w:start w:val="5"/>
      <w:numFmt w:val="decimal"/>
      <w:lvlText w:val="%1."/>
      <w:lvlJc w:val="left"/>
      <w:pPr>
        <w:ind w:left="540" w:hanging="540"/>
      </w:pPr>
      <w:rPr>
        <w:rFonts w:hint="default"/>
        <w:color w:val="auto"/>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EA6FC8"/>
    <w:multiLevelType w:val="multilevel"/>
    <w:tmpl w:val="3C0E6DA2"/>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B40C0C"/>
    <w:multiLevelType w:val="multilevel"/>
    <w:tmpl w:val="9FFC1F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4A5400"/>
    <w:multiLevelType w:val="multilevel"/>
    <w:tmpl w:val="865E6BD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764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6C0F07"/>
    <w:multiLevelType w:val="multilevel"/>
    <w:tmpl w:val="6F5CB254"/>
    <w:lvl w:ilvl="0">
      <w:start w:val="8"/>
      <w:numFmt w:val="decimal"/>
      <w:lvlText w:val="%1."/>
      <w:lvlJc w:val="left"/>
      <w:pPr>
        <w:ind w:left="360" w:hanging="360"/>
      </w:pPr>
      <w:rPr>
        <w:rFonts w:hint="default"/>
      </w:rPr>
    </w:lvl>
    <w:lvl w:ilvl="1">
      <w:start w:val="1"/>
      <w:numFmt w:val="decimal"/>
      <w:lvlText w:val="%1.%2."/>
      <w:lvlJc w:val="left"/>
      <w:pPr>
        <w:ind w:left="530" w:hanging="360"/>
      </w:pPr>
      <w:rPr>
        <w:rFonts w:hint="default"/>
        <w:b w:val="0"/>
        <w:bCs w:val="0"/>
      </w:rPr>
    </w:lvl>
    <w:lvl w:ilvl="2">
      <w:start w:val="1"/>
      <w:numFmt w:val="decimal"/>
      <w:lvlText w:val="%1.%2.%3."/>
      <w:lvlJc w:val="left"/>
      <w:pPr>
        <w:ind w:left="1060" w:hanging="720"/>
      </w:pPr>
      <w:rPr>
        <w:rFonts w:hint="default"/>
        <w:b w:val="0"/>
        <w:bCs w:val="0"/>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8" w15:restartNumberingAfterBreak="0">
    <w:nsid w:val="4CB21A4C"/>
    <w:multiLevelType w:val="multilevel"/>
    <w:tmpl w:val="91D643D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0A0A52"/>
    <w:multiLevelType w:val="multilevel"/>
    <w:tmpl w:val="DA3A632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0D77F9"/>
    <w:multiLevelType w:val="multilevel"/>
    <w:tmpl w:val="6F3256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6233DEB"/>
    <w:multiLevelType w:val="multilevel"/>
    <w:tmpl w:val="A5982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F812BB7"/>
    <w:multiLevelType w:val="multilevel"/>
    <w:tmpl w:val="4AB8FB00"/>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2F4120"/>
    <w:multiLevelType w:val="multilevel"/>
    <w:tmpl w:val="45AC3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2A631E"/>
    <w:multiLevelType w:val="multilevel"/>
    <w:tmpl w:val="D0B41D0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EE631D"/>
    <w:multiLevelType w:val="multilevel"/>
    <w:tmpl w:val="E4CE4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397682"/>
    <w:multiLevelType w:val="multilevel"/>
    <w:tmpl w:val="5C245CEA"/>
    <w:lvl w:ilvl="0">
      <w:start w:val="2"/>
      <w:numFmt w:val="decimal"/>
      <w:lvlText w:val="%1."/>
      <w:lvlJc w:val="left"/>
      <w:pPr>
        <w:ind w:left="360" w:hanging="360"/>
      </w:pPr>
      <w:rPr>
        <w:rFonts w:asciiTheme="majorBidi" w:hAnsiTheme="majorBidi" w:cstheme="majorBidi" w:hint="default"/>
        <w:sz w:val="24"/>
        <w:szCs w:val="24"/>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47" w15:restartNumberingAfterBreak="0">
    <w:nsid w:val="6AF16B64"/>
    <w:multiLevelType w:val="multilevel"/>
    <w:tmpl w:val="520AC50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A11FA2"/>
    <w:multiLevelType w:val="multilevel"/>
    <w:tmpl w:val="8BB4F2E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6BC5BC9"/>
    <w:multiLevelType w:val="multilevel"/>
    <w:tmpl w:val="D6BECB0E"/>
    <w:lvl w:ilvl="0">
      <w:start w:val="7"/>
      <w:numFmt w:val="decimal"/>
      <w:lvlText w:val="%1."/>
      <w:lvlJc w:val="left"/>
      <w:pPr>
        <w:ind w:left="540" w:hanging="540"/>
      </w:pPr>
      <w:rPr>
        <w:rFonts w:hint="default"/>
      </w:rPr>
    </w:lvl>
    <w:lvl w:ilvl="1">
      <w:start w:val="7"/>
      <w:numFmt w:val="decimal"/>
      <w:lvlText w:val="%1.%2."/>
      <w:lvlJc w:val="left"/>
      <w:pPr>
        <w:ind w:left="1050" w:hanging="54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50" w15:restartNumberingAfterBreak="0">
    <w:nsid w:val="7B9C5643"/>
    <w:multiLevelType w:val="hybridMultilevel"/>
    <w:tmpl w:val="18EEBAD2"/>
    <w:lvl w:ilvl="0" w:tplc="C40ED33E">
      <w:start w:val="4"/>
      <w:numFmt w:val="decimal"/>
      <w:lvlText w:val="%1.5."/>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7C150E1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2" w15:restartNumberingAfterBreak="0">
    <w:nsid w:val="7EA72762"/>
    <w:multiLevelType w:val="multilevel"/>
    <w:tmpl w:val="31BA0B9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EAE2346"/>
    <w:multiLevelType w:val="multilevel"/>
    <w:tmpl w:val="BDE811B4"/>
    <w:lvl w:ilvl="0">
      <w:start w:val="7"/>
      <w:numFmt w:val="decimal"/>
      <w:lvlText w:val="%1."/>
      <w:lvlJc w:val="left"/>
      <w:pPr>
        <w:ind w:left="830" w:hanging="830"/>
      </w:pPr>
      <w:rPr>
        <w:rFonts w:hint="default"/>
      </w:rPr>
    </w:lvl>
    <w:lvl w:ilvl="1">
      <w:start w:val="11"/>
      <w:numFmt w:val="decimal"/>
      <w:lvlText w:val="%1.%2."/>
      <w:lvlJc w:val="left"/>
      <w:pPr>
        <w:ind w:left="830" w:hanging="830"/>
      </w:pPr>
      <w:rPr>
        <w:rFonts w:hint="default"/>
      </w:rPr>
    </w:lvl>
    <w:lvl w:ilvl="2">
      <w:start w:val="2"/>
      <w:numFmt w:val="decimal"/>
      <w:lvlText w:val="%1.%2.%3."/>
      <w:lvlJc w:val="left"/>
      <w:pPr>
        <w:ind w:left="830" w:hanging="830"/>
      </w:pPr>
      <w:rPr>
        <w:rFonts w:hint="default"/>
      </w:rPr>
    </w:lvl>
    <w:lvl w:ilvl="3">
      <w:start w:val="1"/>
      <w:numFmt w:val="decimal"/>
      <w:lvlText w:val="%1.%2.%3.%4."/>
      <w:lvlJc w:val="left"/>
      <w:pPr>
        <w:ind w:left="830" w:hanging="8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C069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2320097">
    <w:abstractNumId w:val="8"/>
  </w:num>
  <w:num w:numId="2" w16cid:durableId="540826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435881">
    <w:abstractNumId w:val="1"/>
  </w:num>
  <w:num w:numId="4" w16cid:durableId="478116869">
    <w:abstractNumId w:val="41"/>
  </w:num>
  <w:num w:numId="5" w16cid:durableId="1543322075">
    <w:abstractNumId w:val="40"/>
  </w:num>
  <w:num w:numId="6" w16cid:durableId="1534345917">
    <w:abstractNumId w:val="45"/>
  </w:num>
  <w:num w:numId="7" w16cid:durableId="914171038">
    <w:abstractNumId w:val="46"/>
  </w:num>
  <w:num w:numId="8" w16cid:durableId="1173375744">
    <w:abstractNumId w:val="2"/>
  </w:num>
  <w:num w:numId="9" w16cid:durableId="1601990354">
    <w:abstractNumId w:val="39"/>
  </w:num>
  <w:num w:numId="10" w16cid:durableId="1395811165">
    <w:abstractNumId w:val="20"/>
  </w:num>
  <w:num w:numId="11" w16cid:durableId="1342119450">
    <w:abstractNumId w:val="29"/>
  </w:num>
  <w:num w:numId="12" w16cid:durableId="430859523">
    <w:abstractNumId w:val="25"/>
  </w:num>
  <w:num w:numId="13" w16cid:durableId="1574117558">
    <w:abstractNumId w:val="38"/>
  </w:num>
  <w:num w:numId="14" w16cid:durableId="1855681134">
    <w:abstractNumId w:val="23"/>
  </w:num>
  <w:num w:numId="15" w16cid:durableId="11298190">
    <w:abstractNumId w:val="34"/>
  </w:num>
  <w:num w:numId="16" w16cid:durableId="354382509">
    <w:abstractNumId w:val="15"/>
  </w:num>
  <w:num w:numId="17" w16cid:durableId="554466629">
    <w:abstractNumId w:val="4"/>
  </w:num>
  <w:num w:numId="18" w16cid:durableId="1661807082">
    <w:abstractNumId w:val="14"/>
  </w:num>
  <w:num w:numId="19" w16cid:durableId="1721129494">
    <w:abstractNumId w:val="31"/>
  </w:num>
  <w:num w:numId="20" w16cid:durableId="723455693">
    <w:abstractNumId w:val="33"/>
  </w:num>
  <w:num w:numId="21" w16cid:durableId="1799377412">
    <w:abstractNumId w:val="12"/>
  </w:num>
  <w:num w:numId="22" w16cid:durableId="1170873163">
    <w:abstractNumId w:val="26"/>
  </w:num>
  <w:num w:numId="23" w16cid:durableId="1922787844">
    <w:abstractNumId w:val="50"/>
  </w:num>
  <w:num w:numId="24" w16cid:durableId="1873573545">
    <w:abstractNumId w:val="52"/>
  </w:num>
  <w:num w:numId="25" w16cid:durableId="1488668397">
    <w:abstractNumId w:val="16"/>
  </w:num>
  <w:num w:numId="26" w16cid:durableId="619923314">
    <w:abstractNumId w:val="8"/>
  </w:num>
  <w:num w:numId="27" w16cid:durableId="680085770">
    <w:abstractNumId w:val="19"/>
  </w:num>
  <w:num w:numId="28" w16cid:durableId="2097820899">
    <w:abstractNumId w:val="47"/>
  </w:num>
  <w:num w:numId="29" w16cid:durableId="888221454">
    <w:abstractNumId w:val="17"/>
  </w:num>
  <w:num w:numId="30" w16cid:durableId="1270315842">
    <w:abstractNumId w:val="48"/>
  </w:num>
  <w:num w:numId="31" w16cid:durableId="1851413032">
    <w:abstractNumId w:val="24"/>
  </w:num>
  <w:num w:numId="32" w16cid:durableId="508444447">
    <w:abstractNumId w:val="27"/>
  </w:num>
  <w:num w:numId="33" w16cid:durableId="1240021390">
    <w:abstractNumId w:val="3"/>
  </w:num>
  <w:num w:numId="34" w16cid:durableId="1893155081">
    <w:abstractNumId w:val="8"/>
  </w:num>
  <w:num w:numId="35" w16cid:durableId="72704126">
    <w:abstractNumId w:val="43"/>
  </w:num>
  <w:num w:numId="36" w16cid:durableId="1293368074">
    <w:abstractNumId w:val="18"/>
  </w:num>
  <w:num w:numId="37" w16cid:durableId="1054815980">
    <w:abstractNumId w:val="8"/>
  </w:num>
  <w:num w:numId="38" w16cid:durableId="1335380174">
    <w:abstractNumId w:val="8"/>
  </w:num>
  <w:num w:numId="39" w16cid:durableId="131601749">
    <w:abstractNumId w:val="8"/>
  </w:num>
  <w:num w:numId="40" w16cid:durableId="574439539">
    <w:abstractNumId w:val="8"/>
  </w:num>
  <w:num w:numId="41" w16cid:durableId="2060321087">
    <w:abstractNumId w:val="44"/>
  </w:num>
  <w:num w:numId="42" w16cid:durableId="978268944">
    <w:abstractNumId w:val="35"/>
  </w:num>
  <w:num w:numId="43" w16cid:durableId="73746523">
    <w:abstractNumId w:val="11"/>
  </w:num>
  <w:num w:numId="44" w16cid:durableId="1257448129">
    <w:abstractNumId w:val="8"/>
  </w:num>
  <w:num w:numId="45" w16cid:durableId="1719279979">
    <w:abstractNumId w:val="32"/>
  </w:num>
  <w:num w:numId="46" w16cid:durableId="998115203">
    <w:abstractNumId w:val="42"/>
  </w:num>
  <w:num w:numId="47" w16cid:durableId="385491719">
    <w:abstractNumId w:val="6"/>
  </w:num>
  <w:num w:numId="48" w16cid:durableId="2005208243">
    <w:abstractNumId w:val="7"/>
  </w:num>
  <w:num w:numId="49" w16cid:durableId="263542066">
    <w:abstractNumId w:val="9"/>
  </w:num>
  <w:num w:numId="50" w16cid:durableId="1639146031">
    <w:abstractNumId w:val="51"/>
  </w:num>
  <w:num w:numId="51" w16cid:durableId="1476797535">
    <w:abstractNumId w:val="54"/>
  </w:num>
  <w:num w:numId="52" w16cid:durableId="785008822">
    <w:abstractNumId w:val="49"/>
  </w:num>
  <w:num w:numId="53" w16cid:durableId="1696999635">
    <w:abstractNumId w:val="21"/>
  </w:num>
  <w:num w:numId="54" w16cid:durableId="736129193">
    <w:abstractNumId w:val="0"/>
  </w:num>
  <w:num w:numId="55" w16cid:durableId="826022495">
    <w:abstractNumId w:val="13"/>
  </w:num>
  <w:num w:numId="56" w16cid:durableId="1074276144">
    <w:abstractNumId w:val="53"/>
  </w:num>
  <w:num w:numId="57" w16cid:durableId="1317101849">
    <w:abstractNumId w:val="1"/>
  </w:num>
  <w:num w:numId="58" w16cid:durableId="1360855310">
    <w:abstractNumId w:val="37"/>
  </w:num>
  <w:num w:numId="59" w16cid:durableId="378554355">
    <w:abstractNumId w:val="5"/>
  </w:num>
  <w:num w:numId="60" w16cid:durableId="817963835">
    <w:abstractNumId w:val="36"/>
  </w:num>
  <w:num w:numId="61" w16cid:durableId="667445868">
    <w:abstractNumId w:val="8"/>
  </w:num>
  <w:num w:numId="62" w16cid:durableId="506748208">
    <w:abstractNumId w:val="8"/>
  </w:num>
  <w:num w:numId="63" w16cid:durableId="2001149337">
    <w:abstractNumId w:val="8"/>
  </w:num>
  <w:num w:numId="64" w16cid:durableId="1189948654">
    <w:abstractNumId w:val="8"/>
  </w:num>
  <w:num w:numId="65" w16cid:durableId="1732577402">
    <w:abstractNumId w:val="8"/>
  </w:num>
  <w:num w:numId="66" w16cid:durableId="1752770261">
    <w:abstractNumId w:val="8"/>
  </w:num>
  <w:num w:numId="67" w16cid:durableId="1263612863">
    <w:abstractNumId w:val="8"/>
  </w:num>
  <w:num w:numId="68" w16cid:durableId="995693356">
    <w:abstractNumId w:val="8"/>
  </w:num>
  <w:num w:numId="69" w16cid:durableId="896205807">
    <w:abstractNumId w:val="8"/>
  </w:num>
  <w:num w:numId="70" w16cid:durableId="1986354989">
    <w:abstractNumId w:val="8"/>
  </w:num>
  <w:num w:numId="71" w16cid:durableId="987322914">
    <w:abstractNumId w:val="8"/>
  </w:num>
  <w:num w:numId="72" w16cid:durableId="1168863886">
    <w:abstractNumId w:val="8"/>
  </w:num>
  <w:num w:numId="73" w16cid:durableId="741030707">
    <w:abstractNumId w:val="30"/>
  </w:num>
  <w:num w:numId="74" w16cid:durableId="2027322780">
    <w:abstractNumId w:val="8"/>
  </w:num>
  <w:num w:numId="75" w16cid:durableId="1748961994">
    <w:abstractNumId w:val="8"/>
  </w:num>
  <w:num w:numId="76" w16cid:durableId="432826710">
    <w:abstractNumId w:val="8"/>
  </w:num>
  <w:num w:numId="77" w16cid:durableId="452405358">
    <w:abstractNumId w:val="8"/>
  </w:num>
  <w:num w:numId="78" w16cid:durableId="1866212315">
    <w:abstractNumId w:val="8"/>
  </w:num>
  <w:num w:numId="79" w16cid:durableId="1561287948">
    <w:abstractNumId w:val="8"/>
  </w:num>
  <w:num w:numId="80" w16cid:durableId="845442338">
    <w:abstractNumId w:val="8"/>
  </w:num>
  <w:num w:numId="81" w16cid:durableId="1086922348">
    <w:abstractNumId w:val="8"/>
  </w:num>
  <w:num w:numId="82" w16cid:durableId="1218083127">
    <w:abstractNumId w:val="8"/>
  </w:num>
  <w:num w:numId="83" w16cid:durableId="1762679500">
    <w:abstractNumId w:val="8"/>
  </w:num>
  <w:num w:numId="84" w16cid:durableId="1125393850">
    <w:abstractNumId w:val="8"/>
  </w:num>
  <w:num w:numId="85" w16cid:durableId="1526600537">
    <w:abstractNumId w:val="8"/>
  </w:num>
  <w:num w:numId="86" w16cid:durableId="1746611420">
    <w:abstractNumId w:val="8"/>
  </w:num>
  <w:num w:numId="87" w16cid:durableId="2144811927">
    <w:abstractNumId w:val="1"/>
  </w:num>
  <w:num w:numId="88" w16cid:durableId="916749299">
    <w:abstractNumId w:val="1"/>
  </w:num>
  <w:num w:numId="89" w16cid:durableId="23675055">
    <w:abstractNumId w:val="1"/>
  </w:num>
  <w:num w:numId="90" w16cid:durableId="2076196716">
    <w:abstractNumId w:val="28"/>
  </w:num>
  <w:num w:numId="91" w16cid:durableId="1822041446">
    <w:abstractNumId w:val="22"/>
  </w:num>
  <w:num w:numId="92" w16cid:durableId="1254431087">
    <w:abstractNumId w:val="8"/>
  </w:num>
  <w:num w:numId="93" w16cid:durableId="880677588">
    <w:abstractNumId w:val="8"/>
  </w:num>
  <w:num w:numId="94" w16cid:durableId="282152041">
    <w:abstractNumId w:val="8"/>
  </w:num>
  <w:num w:numId="95" w16cid:durableId="1845902641">
    <w:abstractNumId w:val="8"/>
  </w:num>
  <w:num w:numId="96" w16cid:durableId="2077193727">
    <w:abstractNumId w:val="8"/>
  </w:num>
  <w:num w:numId="97" w16cid:durableId="390269220">
    <w:abstractNumId w:val="8"/>
  </w:num>
  <w:num w:numId="98" w16cid:durableId="1592860695">
    <w:abstractNumId w:val="8"/>
  </w:num>
  <w:num w:numId="99" w16cid:durableId="138621017">
    <w:abstractNumId w:val="8"/>
  </w:num>
  <w:num w:numId="100" w16cid:durableId="96216474">
    <w:abstractNumId w:val="8"/>
  </w:num>
  <w:num w:numId="101" w16cid:durableId="869342027">
    <w:abstractNumId w:val="8"/>
  </w:num>
  <w:num w:numId="102" w16cid:durableId="1514148847">
    <w:abstractNumId w:val="8"/>
  </w:num>
  <w:num w:numId="103" w16cid:durableId="1403288436">
    <w:abstractNumId w:val="8"/>
  </w:num>
  <w:num w:numId="104" w16cid:durableId="1776094471">
    <w:abstractNumId w:val="8"/>
  </w:num>
  <w:num w:numId="105" w16cid:durableId="814840040">
    <w:abstractNumId w:val="8"/>
  </w:num>
  <w:num w:numId="106" w16cid:durableId="1832019969">
    <w:abstractNumId w:val="8"/>
  </w:num>
  <w:num w:numId="107" w16cid:durableId="1488354515">
    <w:abstractNumId w:val="8"/>
  </w:num>
  <w:num w:numId="108" w16cid:durableId="1474903220">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EF"/>
    <w:rsid w:val="0000173E"/>
    <w:rsid w:val="00004A82"/>
    <w:rsid w:val="00005BED"/>
    <w:rsid w:val="000076EB"/>
    <w:rsid w:val="000112C3"/>
    <w:rsid w:val="000112FA"/>
    <w:rsid w:val="000114FC"/>
    <w:rsid w:val="00011F87"/>
    <w:rsid w:val="0001210C"/>
    <w:rsid w:val="00012748"/>
    <w:rsid w:val="000134C7"/>
    <w:rsid w:val="0001353E"/>
    <w:rsid w:val="00013595"/>
    <w:rsid w:val="00013652"/>
    <w:rsid w:val="00014BB2"/>
    <w:rsid w:val="00014EFC"/>
    <w:rsid w:val="00017673"/>
    <w:rsid w:val="00022DBF"/>
    <w:rsid w:val="000247DA"/>
    <w:rsid w:val="000264D9"/>
    <w:rsid w:val="00027336"/>
    <w:rsid w:val="00032629"/>
    <w:rsid w:val="0003269D"/>
    <w:rsid w:val="00035650"/>
    <w:rsid w:val="00035A02"/>
    <w:rsid w:val="00035E90"/>
    <w:rsid w:val="00036FE3"/>
    <w:rsid w:val="0004021E"/>
    <w:rsid w:val="000425CE"/>
    <w:rsid w:val="00046B0F"/>
    <w:rsid w:val="000500F3"/>
    <w:rsid w:val="00050DE6"/>
    <w:rsid w:val="00053370"/>
    <w:rsid w:val="00053B31"/>
    <w:rsid w:val="00055272"/>
    <w:rsid w:val="00057209"/>
    <w:rsid w:val="0005768A"/>
    <w:rsid w:val="00060FD4"/>
    <w:rsid w:val="00066393"/>
    <w:rsid w:val="00066645"/>
    <w:rsid w:val="0006674D"/>
    <w:rsid w:val="00066B92"/>
    <w:rsid w:val="00067D2E"/>
    <w:rsid w:val="00072BEA"/>
    <w:rsid w:val="00073E92"/>
    <w:rsid w:val="00074750"/>
    <w:rsid w:val="00075A81"/>
    <w:rsid w:val="0007666C"/>
    <w:rsid w:val="00081D36"/>
    <w:rsid w:val="0008309C"/>
    <w:rsid w:val="0008647D"/>
    <w:rsid w:val="00086799"/>
    <w:rsid w:val="0009041E"/>
    <w:rsid w:val="000919C5"/>
    <w:rsid w:val="00092D13"/>
    <w:rsid w:val="00093576"/>
    <w:rsid w:val="000942EA"/>
    <w:rsid w:val="00095151"/>
    <w:rsid w:val="000A0F6A"/>
    <w:rsid w:val="000A1024"/>
    <w:rsid w:val="000A2074"/>
    <w:rsid w:val="000A2609"/>
    <w:rsid w:val="000A3854"/>
    <w:rsid w:val="000A63BC"/>
    <w:rsid w:val="000B1D9A"/>
    <w:rsid w:val="000B36AF"/>
    <w:rsid w:val="000B4B58"/>
    <w:rsid w:val="000B640E"/>
    <w:rsid w:val="000B6B18"/>
    <w:rsid w:val="000C0839"/>
    <w:rsid w:val="000C12FD"/>
    <w:rsid w:val="000C1E1B"/>
    <w:rsid w:val="000C1F52"/>
    <w:rsid w:val="000C20FB"/>
    <w:rsid w:val="000C254D"/>
    <w:rsid w:val="000C2A57"/>
    <w:rsid w:val="000C4D54"/>
    <w:rsid w:val="000C52AD"/>
    <w:rsid w:val="000D0764"/>
    <w:rsid w:val="000D1C69"/>
    <w:rsid w:val="000D341C"/>
    <w:rsid w:val="000D3643"/>
    <w:rsid w:val="000D37F5"/>
    <w:rsid w:val="000D4E69"/>
    <w:rsid w:val="000D5E31"/>
    <w:rsid w:val="000D644F"/>
    <w:rsid w:val="000D708B"/>
    <w:rsid w:val="000E17EB"/>
    <w:rsid w:val="000E1EA9"/>
    <w:rsid w:val="000E1F72"/>
    <w:rsid w:val="000E20BF"/>
    <w:rsid w:val="000E2814"/>
    <w:rsid w:val="000F0261"/>
    <w:rsid w:val="000F1BA5"/>
    <w:rsid w:val="000F2457"/>
    <w:rsid w:val="000F3488"/>
    <w:rsid w:val="000F504C"/>
    <w:rsid w:val="000F5ECE"/>
    <w:rsid w:val="000F6544"/>
    <w:rsid w:val="000F75E5"/>
    <w:rsid w:val="000F7FD0"/>
    <w:rsid w:val="00100793"/>
    <w:rsid w:val="0010124D"/>
    <w:rsid w:val="001025BA"/>
    <w:rsid w:val="00102AEB"/>
    <w:rsid w:val="00102C20"/>
    <w:rsid w:val="00103B1F"/>
    <w:rsid w:val="00103ED0"/>
    <w:rsid w:val="001040A6"/>
    <w:rsid w:val="00104F25"/>
    <w:rsid w:val="001055F3"/>
    <w:rsid w:val="00106878"/>
    <w:rsid w:val="0011036C"/>
    <w:rsid w:val="001118E1"/>
    <w:rsid w:val="00114024"/>
    <w:rsid w:val="00114198"/>
    <w:rsid w:val="001151B8"/>
    <w:rsid w:val="00116DB1"/>
    <w:rsid w:val="00116E73"/>
    <w:rsid w:val="00116F68"/>
    <w:rsid w:val="0012070C"/>
    <w:rsid w:val="00122998"/>
    <w:rsid w:val="00122D6F"/>
    <w:rsid w:val="0012462A"/>
    <w:rsid w:val="001264BB"/>
    <w:rsid w:val="001271B2"/>
    <w:rsid w:val="001314A8"/>
    <w:rsid w:val="00131A50"/>
    <w:rsid w:val="001333C1"/>
    <w:rsid w:val="001371E1"/>
    <w:rsid w:val="00140384"/>
    <w:rsid w:val="001420C0"/>
    <w:rsid w:val="001509DD"/>
    <w:rsid w:val="00153224"/>
    <w:rsid w:val="00153495"/>
    <w:rsid w:val="00154629"/>
    <w:rsid w:val="00154FDF"/>
    <w:rsid w:val="00155D0B"/>
    <w:rsid w:val="00160A1D"/>
    <w:rsid w:val="00160B7E"/>
    <w:rsid w:val="00161F85"/>
    <w:rsid w:val="0016450F"/>
    <w:rsid w:val="0016487D"/>
    <w:rsid w:val="001674D2"/>
    <w:rsid w:val="00171360"/>
    <w:rsid w:val="00174385"/>
    <w:rsid w:val="00174ED6"/>
    <w:rsid w:val="00176E9B"/>
    <w:rsid w:val="0017733E"/>
    <w:rsid w:val="00180173"/>
    <w:rsid w:val="00180DB4"/>
    <w:rsid w:val="00183593"/>
    <w:rsid w:val="00183EB5"/>
    <w:rsid w:val="00186F11"/>
    <w:rsid w:val="00187657"/>
    <w:rsid w:val="001905B5"/>
    <w:rsid w:val="0019350B"/>
    <w:rsid w:val="00193911"/>
    <w:rsid w:val="00193E14"/>
    <w:rsid w:val="001A2C4C"/>
    <w:rsid w:val="001A2C66"/>
    <w:rsid w:val="001A5C84"/>
    <w:rsid w:val="001B0B64"/>
    <w:rsid w:val="001B12AB"/>
    <w:rsid w:val="001B1A92"/>
    <w:rsid w:val="001B1C74"/>
    <w:rsid w:val="001B21D9"/>
    <w:rsid w:val="001B237F"/>
    <w:rsid w:val="001B4D5B"/>
    <w:rsid w:val="001B52F8"/>
    <w:rsid w:val="001B62DE"/>
    <w:rsid w:val="001B6829"/>
    <w:rsid w:val="001B7114"/>
    <w:rsid w:val="001C005B"/>
    <w:rsid w:val="001C049C"/>
    <w:rsid w:val="001C0ECE"/>
    <w:rsid w:val="001C13B3"/>
    <w:rsid w:val="001C143C"/>
    <w:rsid w:val="001C2987"/>
    <w:rsid w:val="001C40E2"/>
    <w:rsid w:val="001C4BFC"/>
    <w:rsid w:val="001C55CA"/>
    <w:rsid w:val="001C5B47"/>
    <w:rsid w:val="001C6F87"/>
    <w:rsid w:val="001C73A3"/>
    <w:rsid w:val="001C7BCF"/>
    <w:rsid w:val="001D067A"/>
    <w:rsid w:val="001D0E20"/>
    <w:rsid w:val="001D5A3C"/>
    <w:rsid w:val="001D622A"/>
    <w:rsid w:val="001D6ACD"/>
    <w:rsid w:val="001D7461"/>
    <w:rsid w:val="001E023B"/>
    <w:rsid w:val="001E042A"/>
    <w:rsid w:val="001E259A"/>
    <w:rsid w:val="001E4679"/>
    <w:rsid w:val="001E4B93"/>
    <w:rsid w:val="001E50E6"/>
    <w:rsid w:val="001E515A"/>
    <w:rsid w:val="001E7221"/>
    <w:rsid w:val="001E7666"/>
    <w:rsid w:val="001E7E66"/>
    <w:rsid w:val="001F33C3"/>
    <w:rsid w:val="001F71C4"/>
    <w:rsid w:val="001F7D4D"/>
    <w:rsid w:val="001F7E07"/>
    <w:rsid w:val="00201188"/>
    <w:rsid w:val="002025D7"/>
    <w:rsid w:val="002049AA"/>
    <w:rsid w:val="00205C25"/>
    <w:rsid w:val="002143B8"/>
    <w:rsid w:val="00217406"/>
    <w:rsid w:val="002201C3"/>
    <w:rsid w:val="00221037"/>
    <w:rsid w:val="00222CA7"/>
    <w:rsid w:val="00223B3F"/>
    <w:rsid w:val="002245F3"/>
    <w:rsid w:val="00224FAB"/>
    <w:rsid w:val="00225501"/>
    <w:rsid w:val="00226670"/>
    <w:rsid w:val="00226840"/>
    <w:rsid w:val="0022762B"/>
    <w:rsid w:val="00232AEB"/>
    <w:rsid w:val="00233058"/>
    <w:rsid w:val="00233B28"/>
    <w:rsid w:val="00233E75"/>
    <w:rsid w:val="00236281"/>
    <w:rsid w:val="0024046F"/>
    <w:rsid w:val="002406A1"/>
    <w:rsid w:val="0024114F"/>
    <w:rsid w:val="00242AF3"/>
    <w:rsid w:val="002447AF"/>
    <w:rsid w:val="00244917"/>
    <w:rsid w:val="00245705"/>
    <w:rsid w:val="00250B2B"/>
    <w:rsid w:val="002511AA"/>
    <w:rsid w:val="002548BD"/>
    <w:rsid w:val="0025506B"/>
    <w:rsid w:val="00255985"/>
    <w:rsid w:val="00255DC4"/>
    <w:rsid w:val="002566F7"/>
    <w:rsid w:val="002602CF"/>
    <w:rsid w:val="0026091C"/>
    <w:rsid w:val="00261A4E"/>
    <w:rsid w:val="00263916"/>
    <w:rsid w:val="00263A68"/>
    <w:rsid w:val="002658C0"/>
    <w:rsid w:val="00266188"/>
    <w:rsid w:val="00266AA8"/>
    <w:rsid w:val="00266B3C"/>
    <w:rsid w:val="00266D2C"/>
    <w:rsid w:val="00270819"/>
    <w:rsid w:val="00272403"/>
    <w:rsid w:val="00274030"/>
    <w:rsid w:val="00274E02"/>
    <w:rsid w:val="00275E7C"/>
    <w:rsid w:val="00276DAE"/>
    <w:rsid w:val="002810AF"/>
    <w:rsid w:val="00281833"/>
    <w:rsid w:val="00281CA6"/>
    <w:rsid w:val="00282180"/>
    <w:rsid w:val="00284AA2"/>
    <w:rsid w:val="0028586B"/>
    <w:rsid w:val="0028780C"/>
    <w:rsid w:val="00287D3D"/>
    <w:rsid w:val="002909F4"/>
    <w:rsid w:val="00290D74"/>
    <w:rsid w:val="00291B54"/>
    <w:rsid w:val="00292F8E"/>
    <w:rsid w:val="00293A6A"/>
    <w:rsid w:val="00295E5E"/>
    <w:rsid w:val="002A2614"/>
    <w:rsid w:val="002A2C7F"/>
    <w:rsid w:val="002A3448"/>
    <w:rsid w:val="002A492E"/>
    <w:rsid w:val="002A4951"/>
    <w:rsid w:val="002A4A47"/>
    <w:rsid w:val="002A63DC"/>
    <w:rsid w:val="002A6C7D"/>
    <w:rsid w:val="002A7838"/>
    <w:rsid w:val="002B4944"/>
    <w:rsid w:val="002B7AD0"/>
    <w:rsid w:val="002C0F2E"/>
    <w:rsid w:val="002C254B"/>
    <w:rsid w:val="002C3998"/>
    <w:rsid w:val="002C404D"/>
    <w:rsid w:val="002C4072"/>
    <w:rsid w:val="002C4083"/>
    <w:rsid w:val="002C4674"/>
    <w:rsid w:val="002C5B70"/>
    <w:rsid w:val="002C5F57"/>
    <w:rsid w:val="002C6FBA"/>
    <w:rsid w:val="002D073C"/>
    <w:rsid w:val="002D1EA5"/>
    <w:rsid w:val="002D230B"/>
    <w:rsid w:val="002D3134"/>
    <w:rsid w:val="002D4226"/>
    <w:rsid w:val="002D4E49"/>
    <w:rsid w:val="002E0A8F"/>
    <w:rsid w:val="002E15FB"/>
    <w:rsid w:val="002E587F"/>
    <w:rsid w:val="002F08AB"/>
    <w:rsid w:val="002F2856"/>
    <w:rsid w:val="002F47E4"/>
    <w:rsid w:val="002F4F64"/>
    <w:rsid w:val="002F5FC7"/>
    <w:rsid w:val="002F7A5E"/>
    <w:rsid w:val="002F7C40"/>
    <w:rsid w:val="0030041C"/>
    <w:rsid w:val="00300726"/>
    <w:rsid w:val="0030493D"/>
    <w:rsid w:val="00304C78"/>
    <w:rsid w:val="00305587"/>
    <w:rsid w:val="00311D32"/>
    <w:rsid w:val="00312032"/>
    <w:rsid w:val="00312778"/>
    <w:rsid w:val="003177C5"/>
    <w:rsid w:val="00320E8B"/>
    <w:rsid w:val="00320FE8"/>
    <w:rsid w:val="0032194B"/>
    <w:rsid w:val="00321D3D"/>
    <w:rsid w:val="003224FA"/>
    <w:rsid w:val="00322FE6"/>
    <w:rsid w:val="00324759"/>
    <w:rsid w:val="00324C49"/>
    <w:rsid w:val="003273A5"/>
    <w:rsid w:val="00327ADE"/>
    <w:rsid w:val="003316F4"/>
    <w:rsid w:val="00331738"/>
    <w:rsid w:val="00331AD7"/>
    <w:rsid w:val="0033348C"/>
    <w:rsid w:val="00334F25"/>
    <w:rsid w:val="00335E22"/>
    <w:rsid w:val="00336DB0"/>
    <w:rsid w:val="00340041"/>
    <w:rsid w:val="00342842"/>
    <w:rsid w:val="00344852"/>
    <w:rsid w:val="003456EC"/>
    <w:rsid w:val="00345AB8"/>
    <w:rsid w:val="00345FC1"/>
    <w:rsid w:val="0034746F"/>
    <w:rsid w:val="00347E97"/>
    <w:rsid w:val="003511B9"/>
    <w:rsid w:val="00352760"/>
    <w:rsid w:val="00352768"/>
    <w:rsid w:val="0035353B"/>
    <w:rsid w:val="00354A0E"/>
    <w:rsid w:val="0035611F"/>
    <w:rsid w:val="003570B8"/>
    <w:rsid w:val="00357303"/>
    <w:rsid w:val="003602AD"/>
    <w:rsid w:val="00360395"/>
    <w:rsid w:val="0036070E"/>
    <w:rsid w:val="00360760"/>
    <w:rsid w:val="00361924"/>
    <w:rsid w:val="00361FCC"/>
    <w:rsid w:val="00362524"/>
    <w:rsid w:val="003705BC"/>
    <w:rsid w:val="00372099"/>
    <w:rsid w:val="003728C0"/>
    <w:rsid w:val="00372C52"/>
    <w:rsid w:val="003730CC"/>
    <w:rsid w:val="003822A7"/>
    <w:rsid w:val="00384227"/>
    <w:rsid w:val="003847EB"/>
    <w:rsid w:val="00385155"/>
    <w:rsid w:val="00385412"/>
    <w:rsid w:val="00385579"/>
    <w:rsid w:val="003861DB"/>
    <w:rsid w:val="00386763"/>
    <w:rsid w:val="00387334"/>
    <w:rsid w:val="003879BE"/>
    <w:rsid w:val="00387DD5"/>
    <w:rsid w:val="00387EE8"/>
    <w:rsid w:val="00390759"/>
    <w:rsid w:val="00390F9C"/>
    <w:rsid w:val="00391990"/>
    <w:rsid w:val="003935B9"/>
    <w:rsid w:val="0039370F"/>
    <w:rsid w:val="003948A0"/>
    <w:rsid w:val="003A0FD1"/>
    <w:rsid w:val="003A1190"/>
    <w:rsid w:val="003A375E"/>
    <w:rsid w:val="003A497C"/>
    <w:rsid w:val="003A4987"/>
    <w:rsid w:val="003B2760"/>
    <w:rsid w:val="003B3BAE"/>
    <w:rsid w:val="003B4B72"/>
    <w:rsid w:val="003B5879"/>
    <w:rsid w:val="003C0920"/>
    <w:rsid w:val="003C14E8"/>
    <w:rsid w:val="003C1CC2"/>
    <w:rsid w:val="003C333A"/>
    <w:rsid w:val="003C3FFF"/>
    <w:rsid w:val="003C4C14"/>
    <w:rsid w:val="003C50A6"/>
    <w:rsid w:val="003C534E"/>
    <w:rsid w:val="003C6318"/>
    <w:rsid w:val="003C72B4"/>
    <w:rsid w:val="003D0B6C"/>
    <w:rsid w:val="003D138D"/>
    <w:rsid w:val="003D1B38"/>
    <w:rsid w:val="003D24FA"/>
    <w:rsid w:val="003D3AC9"/>
    <w:rsid w:val="003D5F47"/>
    <w:rsid w:val="003D662E"/>
    <w:rsid w:val="003D6D1E"/>
    <w:rsid w:val="003D6EE9"/>
    <w:rsid w:val="003E2A99"/>
    <w:rsid w:val="003E59C4"/>
    <w:rsid w:val="003E67B4"/>
    <w:rsid w:val="003F1B4D"/>
    <w:rsid w:val="003F294C"/>
    <w:rsid w:val="003F4091"/>
    <w:rsid w:val="003F44BD"/>
    <w:rsid w:val="003F67F6"/>
    <w:rsid w:val="00400388"/>
    <w:rsid w:val="00400AE3"/>
    <w:rsid w:val="004010F3"/>
    <w:rsid w:val="004023AC"/>
    <w:rsid w:val="00402CBA"/>
    <w:rsid w:val="00402F34"/>
    <w:rsid w:val="00403D8B"/>
    <w:rsid w:val="00403E28"/>
    <w:rsid w:val="00405FFA"/>
    <w:rsid w:val="0040716A"/>
    <w:rsid w:val="00412BF5"/>
    <w:rsid w:val="00412D7E"/>
    <w:rsid w:val="00414167"/>
    <w:rsid w:val="004151FB"/>
    <w:rsid w:val="004223ED"/>
    <w:rsid w:val="0042284E"/>
    <w:rsid w:val="00422A2A"/>
    <w:rsid w:val="004248BE"/>
    <w:rsid w:val="00424CED"/>
    <w:rsid w:val="00425851"/>
    <w:rsid w:val="00426611"/>
    <w:rsid w:val="00431A56"/>
    <w:rsid w:val="004327D4"/>
    <w:rsid w:val="004335C0"/>
    <w:rsid w:val="00433E99"/>
    <w:rsid w:val="004373E5"/>
    <w:rsid w:val="00437C19"/>
    <w:rsid w:val="00440330"/>
    <w:rsid w:val="00440916"/>
    <w:rsid w:val="004410EE"/>
    <w:rsid w:val="0044177A"/>
    <w:rsid w:val="00441AFB"/>
    <w:rsid w:val="004430B1"/>
    <w:rsid w:val="004436B2"/>
    <w:rsid w:val="00445420"/>
    <w:rsid w:val="004457BF"/>
    <w:rsid w:val="0044598B"/>
    <w:rsid w:val="00445D3C"/>
    <w:rsid w:val="00445DC4"/>
    <w:rsid w:val="00445F26"/>
    <w:rsid w:val="004460F4"/>
    <w:rsid w:val="00446822"/>
    <w:rsid w:val="004511AA"/>
    <w:rsid w:val="0045140A"/>
    <w:rsid w:val="004522BF"/>
    <w:rsid w:val="0045263B"/>
    <w:rsid w:val="00454886"/>
    <w:rsid w:val="00455D44"/>
    <w:rsid w:val="00456BDD"/>
    <w:rsid w:val="00460E8C"/>
    <w:rsid w:val="00461B02"/>
    <w:rsid w:val="00465AFC"/>
    <w:rsid w:val="004671A9"/>
    <w:rsid w:val="00467C64"/>
    <w:rsid w:val="00467CC5"/>
    <w:rsid w:val="00470C13"/>
    <w:rsid w:val="004712D7"/>
    <w:rsid w:val="00474261"/>
    <w:rsid w:val="004743E8"/>
    <w:rsid w:val="004749DA"/>
    <w:rsid w:val="00474C4E"/>
    <w:rsid w:val="00475AB4"/>
    <w:rsid w:val="00475F77"/>
    <w:rsid w:val="0047671A"/>
    <w:rsid w:val="00480749"/>
    <w:rsid w:val="004829C7"/>
    <w:rsid w:val="00483568"/>
    <w:rsid w:val="00484D8F"/>
    <w:rsid w:val="00484DB1"/>
    <w:rsid w:val="00486604"/>
    <w:rsid w:val="00486B74"/>
    <w:rsid w:val="004900F7"/>
    <w:rsid w:val="00490C15"/>
    <w:rsid w:val="004915EC"/>
    <w:rsid w:val="00491BA9"/>
    <w:rsid w:val="00495B2B"/>
    <w:rsid w:val="00495F6E"/>
    <w:rsid w:val="004968F6"/>
    <w:rsid w:val="00496C42"/>
    <w:rsid w:val="00496F8D"/>
    <w:rsid w:val="00496FC3"/>
    <w:rsid w:val="00497A54"/>
    <w:rsid w:val="00497E34"/>
    <w:rsid w:val="004A0691"/>
    <w:rsid w:val="004A0DDD"/>
    <w:rsid w:val="004A1DB6"/>
    <w:rsid w:val="004A2096"/>
    <w:rsid w:val="004A2DC8"/>
    <w:rsid w:val="004A3077"/>
    <w:rsid w:val="004A47AC"/>
    <w:rsid w:val="004A5CB4"/>
    <w:rsid w:val="004A65A5"/>
    <w:rsid w:val="004B0F01"/>
    <w:rsid w:val="004B17C0"/>
    <w:rsid w:val="004B3472"/>
    <w:rsid w:val="004B52C6"/>
    <w:rsid w:val="004B704C"/>
    <w:rsid w:val="004C29A6"/>
    <w:rsid w:val="004C56A4"/>
    <w:rsid w:val="004D1167"/>
    <w:rsid w:val="004D1253"/>
    <w:rsid w:val="004D13BF"/>
    <w:rsid w:val="004D2681"/>
    <w:rsid w:val="004D26B5"/>
    <w:rsid w:val="004D4460"/>
    <w:rsid w:val="004D44D9"/>
    <w:rsid w:val="004D4B46"/>
    <w:rsid w:val="004D4FC7"/>
    <w:rsid w:val="004D78D8"/>
    <w:rsid w:val="004E0B1F"/>
    <w:rsid w:val="004E2DF8"/>
    <w:rsid w:val="004E2F80"/>
    <w:rsid w:val="004E512C"/>
    <w:rsid w:val="004E55EA"/>
    <w:rsid w:val="004E73ED"/>
    <w:rsid w:val="004E7B7D"/>
    <w:rsid w:val="004E7C32"/>
    <w:rsid w:val="004F183D"/>
    <w:rsid w:val="004F7098"/>
    <w:rsid w:val="004F770D"/>
    <w:rsid w:val="004F774D"/>
    <w:rsid w:val="00500702"/>
    <w:rsid w:val="005013A3"/>
    <w:rsid w:val="00505834"/>
    <w:rsid w:val="00506386"/>
    <w:rsid w:val="00507011"/>
    <w:rsid w:val="0050716F"/>
    <w:rsid w:val="00507ED4"/>
    <w:rsid w:val="005114EF"/>
    <w:rsid w:val="005122D3"/>
    <w:rsid w:val="00512747"/>
    <w:rsid w:val="00513FAC"/>
    <w:rsid w:val="00515645"/>
    <w:rsid w:val="005162BC"/>
    <w:rsid w:val="00517851"/>
    <w:rsid w:val="005203A2"/>
    <w:rsid w:val="00520A71"/>
    <w:rsid w:val="00520BC5"/>
    <w:rsid w:val="005218AA"/>
    <w:rsid w:val="005237AF"/>
    <w:rsid w:val="0052398E"/>
    <w:rsid w:val="00524C06"/>
    <w:rsid w:val="0052500D"/>
    <w:rsid w:val="00525F21"/>
    <w:rsid w:val="005270D4"/>
    <w:rsid w:val="005277D9"/>
    <w:rsid w:val="00527E36"/>
    <w:rsid w:val="005324DF"/>
    <w:rsid w:val="005326F6"/>
    <w:rsid w:val="00533AB4"/>
    <w:rsid w:val="00534501"/>
    <w:rsid w:val="00535256"/>
    <w:rsid w:val="005437B1"/>
    <w:rsid w:val="005473B6"/>
    <w:rsid w:val="005509A5"/>
    <w:rsid w:val="00553365"/>
    <w:rsid w:val="00561742"/>
    <w:rsid w:val="005619A4"/>
    <w:rsid w:val="005668B9"/>
    <w:rsid w:val="00566C7E"/>
    <w:rsid w:val="00570991"/>
    <w:rsid w:val="00571544"/>
    <w:rsid w:val="00572AF4"/>
    <w:rsid w:val="00573704"/>
    <w:rsid w:val="005737D8"/>
    <w:rsid w:val="00576533"/>
    <w:rsid w:val="005766AC"/>
    <w:rsid w:val="00580CB0"/>
    <w:rsid w:val="005810CE"/>
    <w:rsid w:val="005814A4"/>
    <w:rsid w:val="00584844"/>
    <w:rsid w:val="00587C41"/>
    <w:rsid w:val="00592937"/>
    <w:rsid w:val="00593FF0"/>
    <w:rsid w:val="0059753D"/>
    <w:rsid w:val="005A0BDC"/>
    <w:rsid w:val="005A3286"/>
    <w:rsid w:val="005A4375"/>
    <w:rsid w:val="005A43AF"/>
    <w:rsid w:val="005A52FB"/>
    <w:rsid w:val="005A5884"/>
    <w:rsid w:val="005A6B48"/>
    <w:rsid w:val="005A75AA"/>
    <w:rsid w:val="005A75B9"/>
    <w:rsid w:val="005B058A"/>
    <w:rsid w:val="005B15EE"/>
    <w:rsid w:val="005B33B2"/>
    <w:rsid w:val="005B3493"/>
    <w:rsid w:val="005B3B26"/>
    <w:rsid w:val="005C0B00"/>
    <w:rsid w:val="005C3D92"/>
    <w:rsid w:val="005C5179"/>
    <w:rsid w:val="005C79F5"/>
    <w:rsid w:val="005C7AC3"/>
    <w:rsid w:val="005D1EE0"/>
    <w:rsid w:val="005D2F9F"/>
    <w:rsid w:val="005D38CA"/>
    <w:rsid w:val="005D3969"/>
    <w:rsid w:val="005D4AA6"/>
    <w:rsid w:val="005D4CB4"/>
    <w:rsid w:val="005D6B99"/>
    <w:rsid w:val="005D8465"/>
    <w:rsid w:val="005E0520"/>
    <w:rsid w:val="005E3063"/>
    <w:rsid w:val="005E31CF"/>
    <w:rsid w:val="005E33E6"/>
    <w:rsid w:val="005E4180"/>
    <w:rsid w:val="005E431E"/>
    <w:rsid w:val="005E54EB"/>
    <w:rsid w:val="005E5843"/>
    <w:rsid w:val="005E76AD"/>
    <w:rsid w:val="005E76B7"/>
    <w:rsid w:val="005F0C46"/>
    <w:rsid w:val="005F28E0"/>
    <w:rsid w:val="005F3D14"/>
    <w:rsid w:val="005F4D99"/>
    <w:rsid w:val="005F7C1D"/>
    <w:rsid w:val="00600E8D"/>
    <w:rsid w:val="00603267"/>
    <w:rsid w:val="0060333F"/>
    <w:rsid w:val="00604473"/>
    <w:rsid w:val="00604818"/>
    <w:rsid w:val="00605D76"/>
    <w:rsid w:val="006067D4"/>
    <w:rsid w:val="00606B67"/>
    <w:rsid w:val="00606E78"/>
    <w:rsid w:val="006108AC"/>
    <w:rsid w:val="006112B0"/>
    <w:rsid w:val="00611AF8"/>
    <w:rsid w:val="006125D9"/>
    <w:rsid w:val="00612D0C"/>
    <w:rsid w:val="00613C67"/>
    <w:rsid w:val="006153CE"/>
    <w:rsid w:val="006158A3"/>
    <w:rsid w:val="00617CB3"/>
    <w:rsid w:val="00620EFE"/>
    <w:rsid w:val="00621207"/>
    <w:rsid w:val="006252F3"/>
    <w:rsid w:val="006255DD"/>
    <w:rsid w:val="00630101"/>
    <w:rsid w:val="00631EB7"/>
    <w:rsid w:val="00633A2B"/>
    <w:rsid w:val="00634158"/>
    <w:rsid w:val="00634722"/>
    <w:rsid w:val="00635021"/>
    <w:rsid w:val="00635328"/>
    <w:rsid w:val="00636CD5"/>
    <w:rsid w:val="00640ACB"/>
    <w:rsid w:val="00642C88"/>
    <w:rsid w:val="00643A5A"/>
    <w:rsid w:val="00643D20"/>
    <w:rsid w:val="00644E08"/>
    <w:rsid w:val="0064541D"/>
    <w:rsid w:val="00647D7D"/>
    <w:rsid w:val="00650D05"/>
    <w:rsid w:val="006519D4"/>
    <w:rsid w:val="00651E23"/>
    <w:rsid w:val="006520FB"/>
    <w:rsid w:val="00652389"/>
    <w:rsid w:val="0065267B"/>
    <w:rsid w:val="0065338D"/>
    <w:rsid w:val="0065700D"/>
    <w:rsid w:val="006571EA"/>
    <w:rsid w:val="006625A2"/>
    <w:rsid w:val="00667D60"/>
    <w:rsid w:val="006723FD"/>
    <w:rsid w:val="006770F3"/>
    <w:rsid w:val="00677D7D"/>
    <w:rsid w:val="006819CA"/>
    <w:rsid w:val="00681F50"/>
    <w:rsid w:val="00682E41"/>
    <w:rsid w:val="00685B12"/>
    <w:rsid w:val="00686363"/>
    <w:rsid w:val="006905D8"/>
    <w:rsid w:val="00690985"/>
    <w:rsid w:val="0069351F"/>
    <w:rsid w:val="006A105F"/>
    <w:rsid w:val="006A21BF"/>
    <w:rsid w:val="006A6D29"/>
    <w:rsid w:val="006A73F9"/>
    <w:rsid w:val="006A74D1"/>
    <w:rsid w:val="006A7CC5"/>
    <w:rsid w:val="006B00FB"/>
    <w:rsid w:val="006B09B4"/>
    <w:rsid w:val="006B3FE8"/>
    <w:rsid w:val="006C0311"/>
    <w:rsid w:val="006C0825"/>
    <w:rsid w:val="006C13B6"/>
    <w:rsid w:val="006C2903"/>
    <w:rsid w:val="006C2B66"/>
    <w:rsid w:val="006C2C55"/>
    <w:rsid w:val="006C367F"/>
    <w:rsid w:val="006C3C1F"/>
    <w:rsid w:val="006C4D8D"/>
    <w:rsid w:val="006C6225"/>
    <w:rsid w:val="006D01AC"/>
    <w:rsid w:val="006D2ACD"/>
    <w:rsid w:val="006D6B32"/>
    <w:rsid w:val="006D73EB"/>
    <w:rsid w:val="006E0D4A"/>
    <w:rsid w:val="006E21D7"/>
    <w:rsid w:val="006E22BA"/>
    <w:rsid w:val="006E4F61"/>
    <w:rsid w:val="006F16C6"/>
    <w:rsid w:val="00700783"/>
    <w:rsid w:val="007012C8"/>
    <w:rsid w:val="00702CF6"/>
    <w:rsid w:val="00702E4B"/>
    <w:rsid w:val="00704B7F"/>
    <w:rsid w:val="0070733D"/>
    <w:rsid w:val="00707B27"/>
    <w:rsid w:val="0071169B"/>
    <w:rsid w:val="007119B6"/>
    <w:rsid w:val="00712293"/>
    <w:rsid w:val="00714A1C"/>
    <w:rsid w:val="007168F0"/>
    <w:rsid w:val="0072092C"/>
    <w:rsid w:val="00722BB9"/>
    <w:rsid w:val="0072441D"/>
    <w:rsid w:val="00724B3B"/>
    <w:rsid w:val="00724B8A"/>
    <w:rsid w:val="0072538D"/>
    <w:rsid w:val="0072699E"/>
    <w:rsid w:val="00727EC2"/>
    <w:rsid w:val="007307DC"/>
    <w:rsid w:val="007308C7"/>
    <w:rsid w:val="00731CAC"/>
    <w:rsid w:val="00731F13"/>
    <w:rsid w:val="0073260F"/>
    <w:rsid w:val="00732CB5"/>
    <w:rsid w:val="007341A8"/>
    <w:rsid w:val="0073470E"/>
    <w:rsid w:val="007364A7"/>
    <w:rsid w:val="00737A97"/>
    <w:rsid w:val="00737B52"/>
    <w:rsid w:val="007403D1"/>
    <w:rsid w:val="00740435"/>
    <w:rsid w:val="0074328D"/>
    <w:rsid w:val="00743DC2"/>
    <w:rsid w:val="00744BC3"/>
    <w:rsid w:val="00745014"/>
    <w:rsid w:val="007467FF"/>
    <w:rsid w:val="007473BB"/>
    <w:rsid w:val="00747922"/>
    <w:rsid w:val="00750111"/>
    <w:rsid w:val="00754DC9"/>
    <w:rsid w:val="00754FD8"/>
    <w:rsid w:val="007554F9"/>
    <w:rsid w:val="007565A4"/>
    <w:rsid w:val="007609D2"/>
    <w:rsid w:val="00760AF4"/>
    <w:rsid w:val="007616C3"/>
    <w:rsid w:val="00762CFD"/>
    <w:rsid w:val="007643A0"/>
    <w:rsid w:val="00765523"/>
    <w:rsid w:val="007655A9"/>
    <w:rsid w:val="0076627A"/>
    <w:rsid w:val="007676F9"/>
    <w:rsid w:val="007703DA"/>
    <w:rsid w:val="00770B0B"/>
    <w:rsid w:val="007714D3"/>
    <w:rsid w:val="007728FA"/>
    <w:rsid w:val="00775853"/>
    <w:rsid w:val="00775BA2"/>
    <w:rsid w:val="00776F78"/>
    <w:rsid w:val="007804E5"/>
    <w:rsid w:val="00781190"/>
    <w:rsid w:val="00781A32"/>
    <w:rsid w:val="00782278"/>
    <w:rsid w:val="00783274"/>
    <w:rsid w:val="00783F8F"/>
    <w:rsid w:val="00784DE1"/>
    <w:rsid w:val="007851CC"/>
    <w:rsid w:val="0078536F"/>
    <w:rsid w:val="0078618F"/>
    <w:rsid w:val="00787A33"/>
    <w:rsid w:val="00787D09"/>
    <w:rsid w:val="00787E31"/>
    <w:rsid w:val="007912E5"/>
    <w:rsid w:val="007919E9"/>
    <w:rsid w:val="00791A69"/>
    <w:rsid w:val="00791CD2"/>
    <w:rsid w:val="00791D4B"/>
    <w:rsid w:val="00792456"/>
    <w:rsid w:val="0079326F"/>
    <w:rsid w:val="00793D16"/>
    <w:rsid w:val="0079449F"/>
    <w:rsid w:val="00794F69"/>
    <w:rsid w:val="007958E6"/>
    <w:rsid w:val="007A2305"/>
    <w:rsid w:val="007A2712"/>
    <w:rsid w:val="007A334C"/>
    <w:rsid w:val="007A3E31"/>
    <w:rsid w:val="007A3E5A"/>
    <w:rsid w:val="007A443A"/>
    <w:rsid w:val="007A4FB3"/>
    <w:rsid w:val="007A66F2"/>
    <w:rsid w:val="007A6BEF"/>
    <w:rsid w:val="007B258E"/>
    <w:rsid w:val="007B2FBD"/>
    <w:rsid w:val="007B3584"/>
    <w:rsid w:val="007B3596"/>
    <w:rsid w:val="007B3F9F"/>
    <w:rsid w:val="007B791C"/>
    <w:rsid w:val="007B792D"/>
    <w:rsid w:val="007C130A"/>
    <w:rsid w:val="007C1AC2"/>
    <w:rsid w:val="007C261B"/>
    <w:rsid w:val="007C453B"/>
    <w:rsid w:val="007C5363"/>
    <w:rsid w:val="007C57FB"/>
    <w:rsid w:val="007C589D"/>
    <w:rsid w:val="007C5EF4"/>
    <w:rsid w:val="007C6044"/>
    <w:rsid w:val="007D35E6"/>
    <w:rsid w:val="007D3AF4"/>
    <w:rsid w:val="007D4FBB"/>
    <w:rsid w:val="007D59D3"/>
    <w:rsid w:val="007D7C3F"/>
    <w:rsid w:val="007E00D8"/>
    <w:rsid w:val="007E0B9E"/>
    <w:rsid w:val="007E23D9"/>
    <w:rsid w:val="007E24CE"/>
    <w:rsid w:val="007E2C8A"/>
    <w:rsid w:val="007E34A9"/>
    <w:rsid w:val="007E546C"/>
    <w:rsid w:val="007E5492"/>
    <w:rsid w:val="007E62D1"/>
    <w:rsid w:val="007E78C8"/>
    <w:rsid w:val="007E7A97"/>
    <w:rsid w:val="007F28DE"/>
    <w:rsid w:val="007F454C"/>
    <w:rsid w:val="007F4CB6"/>
    <w:rsid w:val="007F5B49"/>
    <w:rsid w:val="007F738D"/>
    <w:rsid w:val="007F79AB"/>
    <w:rsid w:val="008007A2"/>
    <w:rsid w:val="00800A47"/>
    <w:rsid w:val="00801413"/>
    <w:rsid w:val="0080170C"/>
    <w:rsid w:val="00801C42"/>
    <w:rsid w:val="0080244B"/>
    <w:rsid w:val="0080302E"/>
    <w:rsid w:val="00806899"/>
    <w:rsid w:val="00807C3E"/>
    <w:rsid w:val="0081096A"/>
    <w:rsid w:val="008115E5"/>
    <w:rsid w:val="0081344B"/>
    <w:rsid w:val="00813F6E"/>
    <w:rsid w:val="00815B26"/>
    <w:rsid w:val="00817882"/>
    <w:rsid w:val="008203B3"/>
    <w:rsid w:val="00821BF2"/>
    <w:rsid w:val="00824BE4"/>
    <w:rsid w:val="00826CAB"/>
    <w:rsid w:val="00827EDB"/>
    <w:rsid w:val="00830EA3"/>
    <w:rsid w:val="008343EB"/>
    <w:rsid w:val="0083445E"/>
    <w:rsid w:val="0083473E"/>
    <w:rsid w:val="008352C8"/>
    <w:rsid w:val="00835450"/>
    <w:rsid w:val="00836EC7"/>
    <w:rsid w:val="0083764F"/>
    <w:rsid w:val="00837732"/>
    <w:rsid w:val="00841614"/>
    <w:rsid w:val="00842AAA"/>
    <w:rsid w:val="00844680"/>
    <w:rsid w:val="008460E8"/>
    <w:rsid w:val="00846171"/>
    <w:rsid w:val="00846CA1"/>
    <w:rsid w:val="00846FD8"/>
    <w:rsid w:val="00847310"/>
    <w:rsid w:val="008504E6"/>
    <w:rsid w:val="00850599"/>
    <w:rsid w:val="00851B30"/>
    <w:rsid w:val="00851ED7"/>
    <w:rsid w:val="008520C8"/>
    <w:rsid w:val="008548CB"/>
    <w:rsid w:val="00855552"/>
    <w:rsid w:val="00856294"/>
    <w:rsid w:val="00857D33"/>
    <w:rsid w:val="00864123"/>
    <w:rsid w:val="00864C9B"/>
    <w:rsid w:val="00864F49"/>
    <w:rsid w:val="00865519"/>
    <w:rsid w:val="00867D2A"/>
    <w:rsid w:val="00867F3C"/>
    <w:rsid w:val="008704CF"/>
    <w:rsid w:val="008765B5"/>
    <w:rsid w:val="00876ACB"/>
    <w:rsid w:val="0088045D"/>
    <w:rsid w:val="0088130E"/>
    <w:rsid w:val="0088165C"/>
    <w:rsid w:val="00881772"/>
    <w:rsid w:val="00881B03"/>
    <w:rsid w:val="008828F5"/>
    <w:rsid w:val="0088347F"/>
    <w:rsid w:val="0088599D"/>
    <w:rsid w:val="008862FE"/>
    <w:rsid w:val="00890AE9"/>
    <w:rsid w:val="0089196B"/>
    <w:rsid w:val="008928BD"/>
    <w:rsid w:val="00892973"/>
    <w:rsid w:val="008944F3"/>
    <w:rsid w:val="008A0337"/>
    <w:rsid w:val="008A0F08"/>
    <w:rsid w:val="008A2350"/>
    <w:rsid w:val="008A28A2"/>
    <w:rsid w:val="008A4A9F"/>
    <w:rsid w:val="008A5221"/>
    <w:rsid w:val="008A53F0"/>
    <w:rsid w:val="008A58E0"/>
    <w:rsid w:val="008A6A81"/>
    <w:rsid w:val="008A7406"/>
    <w:rsid w:val="008A7C42"/>
    <w:rsid w:val="008B2EC9"/>
    <w:rsid w:val="008B538D"/>
    <w:rsid w:val="008B6770"/>
    <w:rsid w:val="008B6F65"/>
    <w:rsid w:val="008C3171"/>
    <w:rsid w:val="008C3FA2"/>
    <w:rsid w:val="008C5318"/>
    <w:rsid w:val="008D0275"/>
    <w:rsid w:val="008D1621"/>
    <w:rsid w:val="008D2DCF"/>
    <w:rsid w:val="008D30BC"/>
    <w:rsid w:val="008D4E71"/>
    <w:rsid w:val="008D5DDC"/>
    <w:rsid w:val="008D67C3"/>
    <w:rsid w:val="008D6C33"/>
    <w:rsid w:val="008D6D7C"/>
    <w:rsid w:val="008D6E08"/>
    <w:rsid w:val="008E2B50"/>
    <w:rsid w:val="008E376D"/>
    <w:rsid w:val="008E42F3"/>
    <w:rsid w:val="008E4CEB"/>
    <w:rsid w:val="008E5F58"/>
    <w:rsid w:val="008F0316"/>
    <w:rsid w:val="008F096D"/>
    <w:rsid w:val="008F0CAF"/>
    <w:rsid w:val="008F1457"/>
    <w:rsid w:val="008F1DA8"/>
    <w:rsid w:val="008F1FEA"/>
    <w:rsid w:val="008F22D2"/>
    <w:rsid w:val="008F3DAA"/>
    <w:rsid w:val="008F58A5"/>
    <w:rsid w:val="008F640E"/>
    <w:rsid w:val="009007BB"/>
    <w:rsid w:val="009023E4"/>
    <w:rsid w:val="00902CB0"/>
    <w:rsid w:val="009035BC"/>
    <w:rsid w:val="00904588"/>
    <w:rsid w:val="009052ED"/>
    <w:rsid w:val="009057BE"/>
    <w:rsid w:val="0090624F"/>
    <w:rsid w:val="00910448"/>
    <w:rsid w:val="009113D5"/>
    <w:rsid w:val="0091176F"/>
    <w:rsid w:val="009121C3"/>
    <w:rsid w:val="00914539"/>
    <w:rsid w:val="00914CC3"/>
    <w:rsid w:val="00915778"/>
    <w:rsid w:val="009165C7"/>
    <w:rsid w:val="00920511"/>
    <w:rsid w:val="009208A9"/>
    <w:rsid w:val="00921AD2"/>
    <w:rsid w:val="00922D3D"/>
    <w:rsid w:val="00923E50"/>
    <w:rsid w:val="00923F40"/>
    <w:rsid w:val="00924BC1"/>
    <w:rsid w:val="00924D5A"/>
    <w:rsid w:val="00927453"/>
    <w:rsid w:val="00927CB5"/>
    <w:rsid w:val="0093392D"/>
    <w:rsid w:val="00934E6B"/>
    <w:rsid w:val="009352D9"/>
    <w:rsid w:val="00935E63"/>
    <w:rsid w:val="00940AE9"/>
    <w:rsid w:val="009412D0"/>
    <w:rsid w:val="00941605"/>
    <w:rsid w:val="00941DA8"/>
    <w:rsid w:val="0094324A"/>
    <w:rsid w:val="00944BDB"/>
    <w:rsid w:val="00945081"/>
    <w:rsid w:val="00945F64"/>
    <w:rsid w:val="009466F5"/>
    <w:rsid w:val="00946797"/>
    <w:rsid w:val="00946CD0"/>
    <w:rsid w:val="0095028D"/>
    <w:rsid w:val="00950427"/>
    <w:rsid w:val="009554AF"/>
    <w:rsid w:val="00960F1F"/>
    <w:rsid w:val="00961109"/>
    <w:rsid w:val="00961D56"/>
    <w:rsid w:val="009622C8"/>
    <w:rsid w:val="00963FC1"/>
    <w:rsid w:val="00964366"/>
    <w:rsid w:val="0097228B"/>
    <w:rsid w:val="00975A22"/>
    <w:rsid w:val="00976891"/>
    <w:rsid w:val="0097791A"/>
    <w:rsid w:val="00980DC8"/>
    <w:rsid w:val="00980E49"/>
    <w:rsid w:val="00982270"/>
    <w:rsid w:val="00983259"/>
    <w:rsid w:val="00993FBA"/>
    <w:rsid w:val="00994098"/>
    <w:rsid w:val="009954C8"/>
    <w:rsid w:val="00997A6B"/>
    <w:rsid w:val="009A0FB8"/>
    <w:rsid w:val="009A119A"/>
    <w:rsid w:val="009A1BCE"/>
    <w:rsid w:val="009A26F4"/>
    <w:rsid w:val="009A285D"/>
    <w:rsid w:val="009A4BAF"/>
    <w:rsid w:val="009A4DB3"/>
    <w:rsid w:val="009A5424"/>
    <w:rsid w:val="009A66BD"/>
    <w:rsid w:val="009B0DC5"/>
    <w:rsid w:val="009B0DCC"/>
    <w:rsid w:val="009B0E90"/>
    <w:rsid w:val="009B18B0"/>
    <w:rsid w:val="009B4EE7"/>
    <w:rsid w:val="009B5892"/>
    <w:rsid w:val="009B59FD"/>
    <w:rsid w:val="009B646A"/>
    <w:rsid w:val="009C0A12"/>
    <w:rsid w:val="009C2AF5"/>
    <w:rsid w:val="009C4FFD"/>
    <w:rsid w:val="009C5386"/>
    <w:rsid w:val="009C5E03"/>
    <w:rsid w:val="009C6C56"/>
    <w:rsid w:val="009C7A2F"/>
    <w:rsid w:val="009D301F"/>
    <w:rsid w:val="009D350A"/>
    <w:rsid w:val="009D7318"/>
    <w:rsid w:val="009E018D"/>
    <w:rsid w:val="009E0501"/>
    <w:rsid w:val="009E0E62"/>
    <w:rsid w:val="009E1B91"/>
    <w:rsid w:val="009E3E1E"/>
    <w:rsid w:val="009E507C"/>
    <w:rsid w:val="009E5629"/>
    <w:rsid w:val="009E66CE"/>
    <w:rsid w:val="009F0D69"/>
    <w:rsid w:val="009F17A8"/>
    <w:rsid w:val="009F377D"/>
    <w:rsid w:val="009F42DC"/>
    <w:rsid w:val="009F47CF"/>
    <w:rsid w:val="009F4BF4"/>
    <w:rsid w:val="00A00FDA"/>
    <w:rsid w:val="00A0160B"/>
    <w:rsid w:val="00A0208E"/>
    <w:rsid w:val="00A02746"/>
    <w:rsid w:val="00A053A7"/>
    <w:rsid w:val="00A05E1C"/>
    <w:rsid w:val="00A06543"/>
    <w:rsid w:val="00A0680D"/>
    <w:rsid w:val="00A06976"/>
    <w:rsid w:val="00A06C94"/>
    <w:rsid w:val="00A11B84"/>
    <w:rsid w:val="00A1261C"/>
    <w:rsid w:val="00A130CB"/>
    <w:rsid w:val="00A13373"/>
    <w:rsid w:val="00A13E22"/>
    <w:rsid w:val="00A1508F"/>
    <w:rsid w:val="00A15F2B"/>
    <w:rsid w:val="00A160EC"/>
    <w:rsid w:val="00A161EF"/>
    <w:rsid w:val="00A2080C"/>
    <w:rsid w:val="00A214E8"/>
    <w:rsid w:val="00A244DC"/>
    <w:rsid w:val="00A25798"/>
    <w:rsid w:val="00A258E1"/>
    <w:rsid w:val="00A259B2"/>
    <w:rsid w:val="00A26A25"/>
    <w:rsid w:val="00A30595"/>
    <w:rsid w:val="00A31231"/>
    <w:rsid w:val="00A3511D"/>
    <w:rsid w:val="00A3527A"/>
    <w:rsid w:val="00A35483"/>
    <w:rsid w:val="00A35C88"/>
    <w:rsid w:val="00A36008"/>
    <w:rsid w:val="00A3618A"/>
    <w:rsid w:val="00A365FC"/>
    <w:rsid w:val="00A41B31"/>
    <w:rsid w:val="00A429F3"/>
    <w:rsid w:val="00A43F18"/>
    <w:rsid w:val="00A44EE2"/>
    <w:rsid w:val="00A47007"/>
    <w:rsid w:val="00A53A66"/>
    <w:rsid w:val="00A54063"/>
    <w:rsid w:val="00A55869"/>
    <w:rsid w:val="00A56813"/>
    <w:rsid w:val="00A56A18"/>
    <w:rsid w:val="00A56DA5"/>
    <w:rsid w:val="00A57327"/>
    <w:rsid w:val="00A60695"/>
    <w:rsid w:val="00A63D3A"/>
    <w:rsid w:val="00A640E7"/>
    <w:rsid w:val="00A64961"/>
    <w:rsid w:val="00A64E60"/>
    <w:rsid w:val="00A64FEF"/>
    <w:rsid w:val="00A6559F"/>
    <w:rsid w:val="00A65A19"/>
    <w:rsid w:val="00A65B19"/>
    <w:rsid w:val="00A7034D"/>
    <w:rsid w:val="00A70368"/>
    <w:rsid w:val="00A7097A"/>
    <w:rsid w:val="00A7339C"/>
    <w:rsid w:val="00A743E4"/>
    <w:rsid w:val="00A74618"/>
    <w:rsid w:val="00A74AEC"/>
    <w:rsid w:val="00A7656A"/>
    <w:rsid w:val="00A772F1"/>
    <w:rsid w:val="00A7792E"/>
    <w:rsid w:val="00A80113"/>
    <w:rsid w:val="00A80CE7"/>
    <w:rsid w:val="00A81E0F"/>
    <w:rsid w:val="00A82186"/>
    <w:rsid w:val="00A8376F"/>
    <w:rsid w:val="00A83AA2"/>
    <w:rsid w:val="00A85895"/>
    <w:rsid w:val="00A86C03"/>
    <w:rsid w:val="00A91FF1"/>
    <w:rsid w:val="00A92218"/>
    <w:rsid w:val="00A9254D"/>
    <w:rsid w:val="00A93372"/>
    <w:rsid w:val="00A937BE"/>
    <w:rsid w:val="00A962EB"/>
    <w:rsid w:val="00A971B4"/>
    <w:rsid w:val="00A97B7B"/>
    <w:rsid w:val="00AA1420"/>
    <w:rsid w:val="00AA18DF"/>
    <w:rsid w:val="00AA24D8"/>
    <w:rsid w:val="00AA3F9E"/>
    <w:rsid w:val="00AA3FCC"/>
    <w:rsid w:val="00AA527B"/>
    <w:rsid w:val="00AB2735"/>
    <w:rsid w:val="00AB64A2"/>
    <w:rsid w:val="00AB75DB"/>
    <w:rsid w:val="00AB787F"/>
    <w:rsid w:val="00AC1F7E"/>
    <w:rsid w:val="00AC3F45"/>
    <w:rsid w:val="00AC4034"/>
    <w:rsid w:val="00AC5292"/>
    <w:rsid w:val="00AC5DC3"/>
    <w:rsid w:val="00AC6BAD"/>
    <w:rsid w:val="00AC6BEB"/>
    <w:rsid w:val="00AC7C89"/>
    <w:rsid w:val="00AD5937"/>
    <w:rsid w:val="00AD5B69"/>
    <w:rsid w:val="00AD6B36"/>
    <w:rsid w:val="00AE190D"/>
    <w:rsid w:val="00AE246F"/>
    <w:rsid w:val="00AE380A"/>
    <w:rsid w:val="00AE3E38"/>
    <w:rsid w:val="00AE503F"/>
    <w:rsid w:val="00AE584F"/>
    <w:rsid w:val="00AE5BA0"/>
    <w:rsid w:val="00AF0E42"/>
    <w:rsid w:val="00AF0F3E"/>
    <w:rsid w:val="00AF16BE"/>
    <w:rsid w:val="00AF1D60"/>
    <w:rsid w:val="00AF208C"/>
    <w:rsid w:val="00AF221B"/>
    <w:rsid w:val="00AF25C5"/>
    <w:rsid w:val="00AF3286"/>
    <w:rsid w:val="00B00A5C"/>
    <w:rsid w:val="00B00E87"/>
    <w:rsid w:val="00B01D28"/>
    <w:rsid w:val="00B03908"/>
    <w:rsid w:val="00B04BA7"/>
    <w:rsid w:val="00B0504D"/>
    <w:rsid w:val="00B11144"/>
    <w:rsid w:val="00B12A67"/>
    <w:rsid w:val="00B165E5"/>
    <w:rsid w:val="00B16B77"/>
    <w:rsid w:val="00B16D8E"/>
    <w:rsid w:val="00B16E95"/>
    <w:rsid w:val="00B206C8"/>
    <w:rsid w:val="00B20DD1"/>
    <w:rsid w:val="00B210AF"/>
    <w:rsid w:val="00B22019"/>
    <w:rsid w:val="00B27A0B"/>
    <w:rsid w:val="00B31936"/>
    <w:rsid w:val="00B3220F"/>
    <w:rsid w:val="00B341B8"/>
    <w:rsid w:val="00B3428E"/>
    <w:rsid w:val="00B3794F"/>
    <w:rsid w:val="00B37EBA"/>
    <w:rsid w:val="00B404F7"/>
    <w:rsid w:val="00B410ED"/>
    <w:rsid w:val="00B41771"/>
    <w:rsid w:val="00B425A6"/>
    <w:rsid w:val="00B42CA1"/>
    <w:rsid w:val="00B43691"/>
    <w:rsid w:val="00B43836"/>
    <w:rsid w:val="00B4480D"/>
    <w:rsid w:val="00B45149"/>
    <w:rsid w:val="00B46AD4"/>
    <w:rsid w:val="00B47721"/>
    <w:rsid w:val="00B51E82"/>
    <w:rsid w:val="00B52331"/>
    <w:rsid w:val="00B525A9"/>
    <w:rsid w:val="00B55188"/>
    <w:rsid w:val="00B55461"/>
    <w:rsid w:val="00B61E30"/>
    <w:rsid w:val="00B62120"/>
    <w:rsid w:val="00B64558"/>
    <w:rsid w:val="00B649DB"/>
    <w:rsid w:val="00B64FE9"/>
    <w:rsid w:val="00B67153"/>
    <w:rsid w:val="00B6773A"/>
    <w:rsid w:val="00B71CF7"/>
    <w:rsid w:val="00B73064"/>
    <w:rsid w:val="00B73341"/>
    <w:rsid w:val="00B7396A"/>
    <w:rsid w:val="00B73F66"/>
    <w:rsid w:val="00B764E6"/>
    <w:rsid w:val="00B76B9C"/>
    <w:rsid w:val="00B7789A"/>
    <w:rsid w:val="00B80CC6"/>
    <w:rsid w:val="00B811BB"/>
    <w:rsid w:val="00B81C45"/>
    <w:rsid w:val="00B8210A"/>
    <w:rsid w:val="00B82157"/>
    <w:rsid w:val="00B82502"/>
    <w:rsid w:val="00B844D8"/>
    <w:rsid w:val="00B84771"/>
    <w:rsid w:val="00B84DFB"/>
    <w:rsid w:val="00B91A39"/>
    <w:rsid w:val="00B92378"/>
    <w:rsid w:val="00B925ED"/>
    <w:rsid w:val="00B92ACD"/>
    <w:rsid w:val="00B944D5"/>
    <w:rsid w:val="00B94E81"/>
    <w:rsid w:val="00BA24D5"/>
    <w:rsid w:val="00BA304B"/>
    <w:rsid w:val="00BA318D"/>
    <w:rsid w:val="00BA4144"/>
    <w:rsid w:val="00BA5E04"/>
    <w:rsid w:val="00BB23C7"/>
    <w:rsid w:val="00BB29DE"/>
    <w:rsid w:val="00BB3417"/>
    <w:rsid w:val="00BB4F55"/>
    <w:rsid w:val="00BB58F9"/>
    <w:rsid w:val="00BB5A40"/>
    <w:rsid w:val="00BB6A19"/>
    <w:rsid w:val="00BC000E"/>
    <w:rsid w:val="00BC0B6B"/>
    <w:rsid w:val="00BC3708"/>
    <w:rsid w:val="00BC5062"/>
    <w:rsid w:val="00BC5328"/>
    <w:rsid w:val="00BC66DB"/>
    <w:rsid w:val="00BC6720"/>
    <w:rsid w:val="00BD093D"/>
    <w:rsid w:val="00BD0F6C"/>
    <w:rsid w:val="00BD1198"/>
    <w:rsid w:val="00BD1CA2"/>
    <w:rsid w:val="00BD2F27"/>
    <w:rsid w:val="00BD3D42"/>
    <w:rsid w:val="00BD44FA"/>
    <w:rsid w:val="00BE09AA"/>
    <w:rsid w:val="00BE0FE5"/>
    <w:rsid w:val="00BE1C91"/>
    <w:rsid w:val="00BE2166"/>
    <w:rsid w:val="00BE2185"/>
    <w:rsid w:val="00BE3D69"/>
    <w:rsid w:val="00BE55D2"/>
    <w:rsid w:val="00BE5FBE"/>
    <w:rsid w:val="00BE6161"/>
    <w:rsid w:val="00BE628B"/>
    <w:rsid w:val="00BE6FCB"/>
    <w:rsid w:val="00BF0682"/>
    <w:rsid w:val="00BF4AF8"/>
    <w:rsid w:val="00BF5277"/>
    <w:rsid w:val="00BF5918"/>
    <w:rsid w:val="00BF6D12"/>
    <w:rsid w:val="00BF7375"/>
    <w:rsid w:val="00C002FC"/>
    <w:rsid w:val="00C02C29"/>
    <w:rsid w:val="00C04A5E"/>
    <w:rsid w:val="00C11333"/>
    <w:rsid w:val="00C11986"/>
    <w:rsid w:val="00C11F69"/>
    <w:rsid w:val="00C1240F"/>
    <w:rsid w:val="00C22258"/>
    <w:rsid w:val="00C23120"/>
    <w:rsid w:val="00C240DB"/>
    <w:rsid w:val="00C254FE"/>
    <w:rsid w:val="00C257E4"/>
    <w:rsid w:val="00C26E4D"/>
    <w:rsid w:val="00C27AC6"/>
    <w:rsid w:val="00C3081B"/>
    <w:rsid w:val="00C36407"/>
    <w:rsid w:val="00C37723"/>
    <w:rsid w:val="00C378B7"/>
    <w:rsid w:val="00C40DCE"/>
    <w:rsid w:val="00C40E37"/>
    <w:rsid w:val="00C41B6F"/>
    <w:rsid w:val="00C41F67"/>
    <w:rsid w:val="00C42166"/>
    <w:rsid w:val="00C42D40"/>
    <w:rsid w:val="00C43569"/>
    <w:rsid w:val="00C45608"/>
    <w:rsid w:val="00C45751"/>
    <w:rsid w:val="00C457BC"/>
    <w:rsid w:val="00C464D4"/>
    <w:rsid w:val="00C469B6"/>
    <w:rsid w:val="00C47547"/>
    <w:rsid w:val="00C4790E"/>
    <w:rsid w:val="00C47A06"/>
    <w:rsid w:val="00C52EF7"/>
    <w:rsid w:val="00C539BF"/>
    <w:rsid w:val="00C57E45"/>
    <w:rsid w:val="00C62342"/>
    <w:rsid w:val="00C64727"/>
    <w:rsid w:val="00C6765B"/>
    <w:rsid w:val="00C67DEF"/>
    <w:rsid w:val="00C730F8"/>
    <w:rsid w:val="00C738AC"/>
    <w:rsid w:val="00C73E23"/>
    <w:rsid w:val="00C7422E"/>
    <w:rsid w:val="00C74B6F"/>
    <w:rsid w:val="00C7518E"/>
    <w:rsid w:val="00C7520C"/>
    <w:rsid w:val="00C77263"/>
    <w:rsid w:val="00C82B0B"/>
    <w:rsid w:val="00C849BD"/>
    <w:rsid w:val="00C86743"/>
    <w:rsid w:val="00C86C60"/>
    <w:rsid w:val="00C875B6"/>
    <w:rsid w:val="00C903AB"/>
    <w:rsid w:val="00C90BD6"/>
    <w:rsid w:val="00C92CCA"/>
    <w:rsid w:val="00C94B3B"/>
    <w:rsid w:val="00C95C4D"/>
    <w:rsid w:val="00CA0D29"/>
    <w:rsid w:val="00CA21FA"/>
    <w:rsid w:val="00CA22F3"/>
    <w:rsid w:val="00CA2965"/>
    <w:rsid w:val="00CA357D"/>
    <w:rsid w:val="00CA3689"/>
    <w:rsid w:val="00CA4236"/>
    <w:rsid w:val="00CA45FC"/>
    <w:rsid w:val="00CA5E37"/>
    <w:rsid w:val="00CB06CF"/>
    <w:rsid w:val="00CB15EB"/>
    <w:rsid w:val="00CB1E3D"/>
    <w:rsid w:val="00CB505A"/>
    <w:rsid w:val="00CB5AF1"/>
    <w:rsid w:val="00CB5C27"/>
    <w:rsid w:val="00CC0F02"/>
    <w:rsid w:val="00CC1B31"/>
    <w:rsid w:val="00CC2418"/>
    <w:rsid w:val="00CC24F6"/>
    <w:rsid w:val="00CC2BD3"/>
    <w:rsid w:val="00CC30C0"/>
    <w:rsid w:val="00CC3F6E"/>
    <w:rsid w:val="00CC452D"/>
    <w:rsid w:val="00CC4C6C"/>
    <w:rsid w:val="00CC4C8C"/>
    <w:rsid w:val="00CC6AD8"/>
    <w:rsid w:val="00CC7499"/>
    <w:rsid w:val="00CD1485"/>
    <w:rsid w:val="00CD1AA2"/>
    <w:rsid w:val="00CD680D"/>
    <w:rsid w:val="00CD6C0A"/>
    <w:rsid w:val="00CD7847"/>
    <w:rsid w:val="00CE1308"/>
    <w:rsid w:val="00CE20C5"/>
    <w:rsid w:val="00CE2D42"/>
    <w:rsid w:val="00CE543F"/>
    <w:rsid w:val="00CE5FE1"/>
    <w:rsid w:val="00CE7E9D"/>
    <w:rsid w:val="00CF16BD"/>
    <w:rsid w:val="00CF1F93"/>
    <w:rsid w:val="00CF243C"/>
    <w:rsid w:val="00CF2D9D"/>
    <w:rsid w:val="00CF3F81"/>
    <w:rsid w:val="00CF78FB"/>
    <w:rsid w:val="00D0042B"/>
    <w:rsid w:val="00D01224"/>
    <w:rsid w:val="00D02327"/>
    <w:rsid w:val="00D07CB7"/>
    <w:rsid w:val="00D07F4C"/>
    <w:rsid w:val="00D10CF4"/>
    <w:rsid w:val="00D10DF1"/>
    <w:rsid w:val="00D13A69"/>
    <w:rsid w:val="00D147D1"/>
    <w:rsid w:val="00D151C4"/>
    <w:rsid w:val="00D152F8"/>
    <w:rsid w:val="00D15336"/>
    <w:rsid w:val="00D15517"/>
    <w:rsid w:val="00D160D6"/>
    <w:rsid w:val="00D16808"/>
    <w:rsid w:val="00D16ED6"/>
    <w:rsid w:val="00D171A2"/>
    <w:rsid w:val="00D2111D"/>
    <w:rsid w:val="00D222DA"/>
    <w:rsid w:val="00D22C4B"/>
    <w:rsid w:val="00D22D0E"/>
    <w:rsid w:val="00D245F5"/>
    <w:rsid w:val="00D249C0"/>
    <w:rsid w:val="00D27187"/>
    <w:rsid w:val="00D31153"/>
    <w:rsid w:val="00D330CD"/>
    <w:rsid w:val="00D3449D"/>
    <w:rsid w:val="00D3471F"/>
    <w:rsid w:val="00D355A7"/>
    <w:rsid w:val="00D425F8"/>
    <w:rsid w:val="00D42684"/>
    <w:rsid w:val="00D43A2D"/>
    <w:rsid w:val="00D43AED"/>
    <w:rsid w:val="00D456FE"/>
    <w:rsid w:val="00D46C69"/>
    <w:rsid w:val="00D47506"/>
    <w:rsid w:val="00D503BB"/>
    <w:rsid w:val="00D5047F"/>
    <w:rsid w:val="00D522B0"/>
    <w:rsid w:val="00D52540"/>
    <w:rsid w:val="00D55102"/>
    <w:rsid w:val="00D553D8"/>
    <w:rsid w:val="00D56D90"/>
    <w:rsid w:val="00D57074"/>
    <w:rsid w:val="00D604CD"/>
    <w:rsid w:val="00D618A8"/>
    <w:rsid w:val="00D6254D"/>
    <w:rsid w:val="00D67FFD"/>
    <w:rsid w:val="00D7159C"/>
    <w:rsid w:val="00D7170A"/>
    <w:rsid w:val="00D76C07"/>
    <w:rsid w:val="00D77637"/>
    <w:rsid w:val="00D815C2"/>
    <w:rsid w:val="00D84A6A"/>
    <w:rsid w:val="00D864A1"/>
    <w:rsid w:val="00D9055F"/>
    <w:rsid w:val="00D92694"/>
    <w:rsid w:val="00D93920"/>
    <w:rsid w:val="00D93C87"/>
    <w:rsid w:val="00D94B1F"/>
    <w:rsid w:val="00D94F0B"/>
    <w:rsid w:val="00D95973"/>
    <w:rsid w:val="00D95DF3"/>
    <w:rsid w:val="00D97D20"/>
    <w:rsid w:val="00DA0CC2"/>
    <w:rsid w:val="00DA0FC8"/>
    <w:rsid w:val="00DA10F9"/>
    <w:rsid w:val="00DA1897"/>
    <w:rsid w:val="00DA485A"/>
    <w:rsid w:val="00DA6DF1"/>
    <w:rsid w:val="00DA7A5E"/>
    <w:rsid w:val="00DA7E98"/>
    <w:rsid w:val="00DB0C21"/>
    <w:rsid w:val="00DB1762"/>
    <w:rsid w:val="00DB274D"/>
    <w:rsid w:val="00DB5009"/>
    <w:rsid w:val="00DB5E05"/>
    <w:rsid w:val="00DB6AE9"/>
    <w:rsid w:val="00DC098A"/>
    <w:rsid w:val="00DC0AB7"/>
    <w:rsid w:val="00DC424A"/>
    <w:rsid w:val="00DC44C8"/>
    <w:rsid w:val="00DC50D0"/>
    <w:rsid w:val="00DC5E60"/>
    <w:rsid w:val="00DC6130"/>
    <w:rsid w:val="00DC6269"/>
    <w:rsid w:val="00DC7175"/>
    <w:rsid w:val="00DD2863"/>
    <w:rsid w:val="00DD545A"/>
    <w:rsid w:val="00DD6520"/>
    <w:rsid w:val="00DD749E"/>
    <w:rsid w:val="00DD779E"/>
    <w:rsid w:val="00DE1DB0"/>
    <w:rsid w:val="00DE4121"/>
    <w:rsid w:val="00DE455B"/>
    <w:rsid w:val="00DE49DE"/>
    <w:rsid w:val="00DF0C21"/>
    <w:rsid w:val="00DF174F"/>
    <w:rsid w:val="00DF1982"/>
    <w:rsid w:val="00DF4489"/>
    <w:rsid w:val="00DF62A5"/>
    <w:rsid w:val="00DF7549"/>
    <w:rsid w:val="00DF788A"/>
    <w:rsid w:val="00E00E3E"/>
    <w:rsid w:val="00E016DE"/>
    <w:rsid w:val="00E01818"/>
    <w:rsid w:val="00E01DB0"/>
    <w:rsid w:val="00E02696"/>
    <w:rsid w:val="00E02E13"/>
    <w:rsid w:val="00E037C0"/>
    <w:rsid w:val="00E03AFF"/>
    <w:rsid w:val="00E03BE3"/>
    <w:rsid w:val="00E044E1"/>
    <w:rsid w:val="00E04E22"/>
    <w:rsid w:val="00E0602C"/>
    <w:rsid w:val="00E06E76"/>
    <w:rsid w:val="00E075ED"/>
    <w:rsid w:val="00E106CF"/>
    <w:rsid w:val="00E118C3"/>
    <w:rsid w:val="00E11BDA"/>
    <w:rsid w:val="00E1265B"/>
    <w:rsid w:val="00E13E58"/>
    <w:rsid w:val="00E14F66"/>
    <w:rsid w:val="00E16297"/>
    <w:rsid w:val="00E16A70"/>
    <w:rsid w:val="00E172EB"/>
    <w:rsid w:val="00E201A0"/>
    <w:rsid w:val="00E238FF"/>
    <w:rsid w:val="00E23EB5"/>
    <w:rsid w:val="00E253C5"/>
    <w:rsid w:val="00E260DA"/>
    <w:rsid w:val="00E26F0F"/>
    <w:rsid w:val="00E30745"/>
    <w:rsid w:val="00E312A8"/>
    <w:rsid w:val="00E3133F"/>
    <w:rsid w:val="00E31E86"/>
    <w:rsid w:val="00E33315"/>
    <w:rsid w:val="00E333FB"/>
    <w:rsid w:val="00E347A5"/>
    <w:rsid w:val="00E40267"/>
    <w:rsid w:val="00E40D91"/>
    <w:rsid w:val="00E42233"/>
    <w:rsid w:val="00E4387C"/>
    <w:rsid w:val="00E44C01"/>
    <w:rsid w:val="00E4759D"/>
    <w:rsid w:val="00E50BFF"/>
    <w:rsid w:val="00E51FA5"/>
    <w:rsid w:val="00E525DB"/>
    <w:rsid w:val="00E54DD5"/>
    <w:rsid w:val="00E56993"/>
    <w:rsid w:val="00E569EC"/>
    <w:rsid w:val="00E56D9D"/>
    <w:rsid w:val="00E57C48"/>
    <w:rsid w:val="00E57DE9"/>
    <w:rsid w:val="00E6160C"/>
    <w:rsid w:val="00E633F6"/>
    <w:rsid w:val="00E6544F"/>
    <w:rsid w:val="00E66495"/>
    <w:rsid w:val="00E71419"/>
    <w:rsid w:val="00E719A9"/>
    <w:rsid w:val="00E72B42"/>
    <w:rsid w:val="00E731A7"/>
    <w:rsid w:val="00E73A3C"/>
    <w:rsid w:val="00E74200"/>
    <w:rsid w:val="00E764F4"/>
    <w:rsid w:val="00E7707F"/>
    <w:rsid w:val="00E77087"/>
    <w:rsid w:val="00E77323"/>
    <w:rsid w:val="00E77952"/>
    <w:rsid w:val="00E80CA3"/>
    <w:rsid w:val="00E81B95"/>
    <w:rsid w:val="00E8200E"/>
    <w:rsid w:val="00E829E5"/>
    <w:rsid w:val="00E839BB"/>
    <w:rsid w:val="00E8521A"/>
    <w:rsid w:val="00E85543"/>
    <w:rsid w:val="00E868FF"/>
    <w:rsid w:val="00E86AE7"/>
    <w:rsid w:val="00E86F8C"/>
    <w:rsid w:val="00E878B0"/>
    <w:rsid w:val="00E91087"/>
    <w:rsid w:val="00E9150C"/>
    <w:rsid w:val="00E93F05"/>
    <w:rsid w:val="00E941B5"/>
    <w:rsid w:val="00E963C4"/>
    <w:rsid w:val="00EA026B"/>
    <w:rsid w:val="00EA065E"/>
    <w:rsid w:val="00EA1D87"/>
    <w:rsid w:val="00EA2133"/>
    <w:rsid w:val="00EA2CC6"/>
    <w:rsid w:val="00EA45FB"/>
    <w:rsid w:val="00EA65EB"/>
    <w:rsid w:val="00EA70F9"/>
    <w:rsid w:val="00EA7B9E"/>
    <w:rsid w:val="00EB08BE"/>
    <w:rsid w:val="00EB455F"/>
    <w:rsid w:val="00EB5785"/>
    <w:rsid w:val="00EB5E52"/>
    <w:rsid w:val="00EB6787"/>
    <w:rsid w:val="00EB6DB9"/>
    <w:rsid w:val="00EB6E4E"/>
    <w:rsid w:val="00EB7114"/>
    <w:rsid w:val="00EB75BD"/>
    <w:rsid w:val="00EC06C1"/>
    <w:rsid w:val="00EC2309"/>
    <w:rsid w:val="00EC33D2"/>
    <w:rsid w:val="00EC4C71"/>
    <w:rsid w:val="00EC6313"/>
    <w:rsid w:val="00ED10A1"/>
    <w:rsid w:val="00ED119F"/>
    <w:rsid w:val="00ED210D"/>
    <w:rsid w:val="00ED5D9A"/>
    <w:rsid w:val="00EE195F"/>
    <w:rsid w:val="00EE2DA8"/>
    <w:rsid w:val="00EE30C6"/>
    <w:rsid w:val="00EE3432"/>
    <w:rsid w:val="00EE346B"/>
    <w:rsid w:val="00EE3E17"/>
    <w:rsid w:val="00EE4542"/>
    <w:rsid w:val="00EE5587"/>
    <w:rsid w:val="00EE77BC"/>
    <w:rsid w:val="00EE781B"/>
    <w:rsid w:val="00EF0418"/>
    <w:rsid w:val="00EF064F"/>
    <w:rsid w:val="00EF1BC2"/>
    <w:rsid w:val="00EF1CAA"/>
    <w:rsid w:val="00EF52B2"/>
    <w:rsid w:val="00F0029C"/>
    <w:rsid w:val="00F01DD8"/>
    <w:rsid w:val="00F02681"/>
    <w:rsid w:val="00F02856"/>
    <w:rsid w:val="00F02B30"/>
    <w:rsid w:val="00F04F6A"/>
    <w:rsid w:val="00F05237"/>
    <w:rsid w:val="00F05A23"/>
    <w:rsid w:val="00F074CD"/>
    <w:rsid w:val="00F07956"/>
    <w:rsid w:val="00F107A0"/>
    <w:rsid w:val="00F11D14"/>
    <w:rsid w:val="00F1287B"/>
    <w:rsid w:val="00F140C9"/>
    <w:rsid w:val="00F14623"/>
    <w:rsid w:val="00F1552F"/>
    <w:rsid w:val="00F20395"/>
    <w:rsid w:val="00F2205B"/>
    <w:rsid w:val="00F23A20"/>
    <w:rsid w:val="00F26E92"/>
    <w:rsid w:val="00F2792C"/>
    <w:rsid w:val="00F31101"/>
    <w:rsid w:val="00F31919"/>
    <w:rsid w:val="00F32EF6"/>
    <w:rsid w:val="00F35286"/>
    <w:rsid w:val="00F35B72"/>
    <w:rsid w:val="00F35FC2"/>
    <w:rsid w:val="00F41772"/>
    <w:rsid w:val="00F41A6F"/>
    <w:rsid w:val="00F42D3A"/>
    <w:rsid w:val="00F43474"/>
    <w:rsid w:val="00F468CD"/>
    <w:rsid w:val="00F46A16"/>
    <w:rsid w:val="00F478B9"/>
    <w:rsid w:val="00F50DD9"/>
    <w:rsid w:val="00F50F0F"/>
    <w:rsid w:val="00F527BD"/>
    <w:rsid w:val="00F608F8"/>
    <w:rsid w:val="00F60D37"/>
    <w:rsid w:val="00F614F3"/>
    <w:rsid w:val="00F631D6"/>
    <w:rsid w:val="00F63276"/>
    <w:rsid w:val="00F64D9F"/>
    <w:rsid w:val="00F64F87"/>
    <w:rsid w:val="00F66551"/>
    <w:rsid w:val="00F71687"/>
    <w:rsid w:val="00F71C14"/>
    <w:rsid w:val="00F721F1"/>
    <w:rsid w:val="00F7274F"/>
    <w:rsid w:val="00F72842"/>
    <w:rsid w:val="00F72A86"/>
    <w:rsid w:val="00F73EC2"/>
    <w:rsid w:val="00F74C61"/>
    <w:rsid w:val="00F75498"/>
    <w:rsid w:val="00F76DAC"/>
    <w:rsid w:val="00F77CAD"/>
    <w:rsid w:val="00F817A4"/>
    <w:rsid w:val="00F82A5D"/>
    <w:rsid w:val="00F8303A"/>
    <w:rsid w:val="00F833CB"/>
    <w:rsid w:val="00F836B0"/>
    <w:rsid w:val="00F83C98"/>
    <w:rsid w:val="00F85392"/>
    <w:rsid w:val="00F86DAB"/>
    <w:rsid w:val="00F906C7"/>
    <w:rsid w:val="00F93820"/>
    <w:rsid w:val="00F97CA9"/>
    <w:rsid w:val="00FA3696"/>
    <w:rsid w:val="00FA5801"/>
    <w:rsid w:val="00FA76B3"/>
    <w:rsid w:val="00FA76C3"/>
    <w:rsid w:val="00FB1FDE"/>
    <w:rsid w:val="00FB2150"/>
    <w:rsid w:val="00FB2F4F"/>
    <w:rsid w:val="00FB3098"/>
    <w:rsid w:val="00FB3674"/>
    <w:rsid w:val="00FB5A49"/>
    <w:rsid w:val="00FB67F7"/>
    <w:rsid w:val="00FB7A49"/>
    <w:rsid w:val="00FC0223"/>
    <w:rsid w:val="00FC0C2F"/>
    <w:rsid w:val="00FC1C7E"/>
    <w:rsid w:val="00FC50C3"/>
    <w:rsid w:val="00FC5BE4"/>
    <w:rsid w:val="00FC5F63"/>
    <w:rsid w:val="00FC6A5B"/>
    <w:rsid w:val="00FC738E"/>
    <w:rsid w:val="00FD230E"/>
    <w:rsid w:val="00FD373D"/>
    <w:rsid w:val="00FD4E9F"/>
    <w:rsid w:val="00FD517A"/>
    <w:rsid w:val="00FD56BC"/>
    <w:rsid w:val="00FD69EF"/>
    <w:rsid w:val="00FE07FF"/>
    <w:rsid w:val="00FE2201"/>
    <w:rsid w:val="00FE4DAC"/>
    <w:rsid w:val="00FF005E"/>
    <w:rsid w:val="00FF07F3"/>
    <w:rsid w:val="00FF12DD"/>
    <w:rsid w:val="00FF1665"/>
    <w:rsid w:val="00FF2B1C"/>
    <w:rsid w:val="00FF3027"/>
    <w:rsid w:val="00FF3FE4"/>
    <w:rsid w:val="00FF4133"/>
    <w:rsid w:val="00FF48F2"/>
    <w:rsid w:val="00FF4CFE"/>
    <w:rsid w:val="00FF56DB"/>
    <w:rsid w:val="00FF6280"/>
    <w:rsid w:val="030C6737"/>
    <w:rsid w:val="06A41868"/>
    <w:rsid w:val="070A1D68"/>
    <w:rsid w:val="09A4BE94"/>
    <w:rsid w:val="0DA9351A"/>
    <w:rsid w:val="119CB9DE"/>
    <w:rsid w:val="128C7E6A"/>
    <w:rsid w:val="15B1725A"/>
    <w:rsid w:val="16E95437"/>
    <w:rsid w:val="17B27478"/>
    <w:rsid w:val="17E32454"/>
    <w:rsid w:val="181474FE"/>
    <w:rsid w:val="19FF0D13"/>
    <w:rsid w:val="1A90F516"/>
    <w:rsid w:val="205A5DE4"/>
    <w:rsid w:val="2437243D"/>
    <w:rsid w:val="2714A2C4"/>
    <w:rsid w:val="2A026BC7"/>
    <w:rsid w:val="2BF39A1F"/>
    <w:rsid w:val="2D3E447B"/>
    <w:rsid w:val="30E415A4"/>
    <w:rsid w:val="32E76698"/>
    <w:rsid w:val="34668C2C"/>
    <w:rsid w:val="36A7EFA7"/>
    <w:rsid w:val="36C913E0"/>
    <w:rsid w:val="3A677C5F"/>
    <w:rsid w:val="4181166A"/>
    <w:rsid w:val="47C1AAA4"/>
    <w:rsid w:val="4841A5E9"/>
    <w:rsid w:val="48E28A79"/>
    <w:rsid w:val="4CA6626A"/>
    <w:rsid w:val="4DFD9E48"/>
    <w:rsid w:val="51212D44"/>
    <w:rsid w:val="51394FFF"/>
    <w:rsid w:val="51826D8E"/>
    <w:rsid w:val="530B53D9"/>
    <w:rsid w:val="551C7711"/>
    <w:rsid w:val="58124B13"/>
    <w:rsid w:val="5A383570"/>
    <w:rsid w:val="5D48C3A5"/>
    <w:rsid w:val="6AED659F"/>
    <w:rsid w:val="725BB84C"/>
    <w:rsid w:val="7D07BF4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6EE1"/>
  <w15:chartTrackingRefBased/>
  <w15:docId w15:val="{66DF9720-6A7A-4C44-B6EA-F09D128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1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9"/>
    <w:unhideWhenUsed/>
    <w:qFormat/>
    <w:rsid w:val="00A161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161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161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161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16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1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9"/>
    <w:rsid w:val="00A161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61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161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161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16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1EF"/>
    <w:rPr>
      <w:rFonts w:eastAsiaTheme="majorEastAsia" w:cstheme="majorBidi"/>
      <w:color w:val="272727" w:themeColor="text1" w:themeTint="D8"/>
    </w:rPr>
  </w:style>
  <w:style w:type="paragraph" w:styleId="Title">
    <w:name w:val="Title"/>
    <w:basedOn w:val="Normal"/>
    <w:next w:val="Normal"/>
    <w:link w:val="TitleChar"/>
    <w:uiPriority w:val="10"/>
    <w:qFormat/>
    <w:rsid w:val="00A16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1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1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61EF"/>
    <w:rPr>
      <w:i/>
      <w:iCs/>
      <w:color w:val="404040" w:themeColor="text1" w:themeTint="BF"/>
    </w:rPr>
  </w:style>
  <w:style w:type="paragraph" w:styleId="ListParagraph">
    <w:name w:val="List Paragraph"/>
    <w:aliases w:val="H&amp;P List Paragraph,2"/>
    <w:basedOn w:val="Normal"/>
    <w:link w:val="ListParagraphChar"/>
    <w:uiPriority w:val="34"/>
    <w:qFormat/>
    <w:rsid w:val="00A161EF"/>
    <w:pPr>
      <w:ind w:left="720"/>
      <w:contextualSpacing/>
    </w:pPr>
  </w:style>
  <w:style w:type="character" w:styleId="IntenseEmphasis">
    <w:name w:val="Intense Emphasis"/>
    <w:basedOn w:val="DefaultParagraphFont"/>
    <w:uiPriority w:val="21"/>
    <w:qFormat/>
    <w:rsid w:val="00A161EF"/>
    <w:rPr>
      <w:i/>
      <w:iCs/>
      <w:color w:val="365F91" w:themeColor="accent1" w:themeShade="BF"/>
    </w:rPr>
  </w:style>
  <w:style w:type="paragraph" w:styleId="IntenseQuote">
    <w:name w:val="Intense Quote"/>
    <w:basedOn w:val="Normal"/>
    <w:next w:val="Normal"/>
    <w:link w:val="IntenseQuoteChar"/>
    <w:uiPriority w:val="30"/>
    <w:qFormat/>
    <w:rsid w:val="00A161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161EF"/>
    <w:rPr>
      <w:i/>
      <w:iCs/>
      <w:color w:val="365F91" w:themeColor="accent1" w:themeShade="BF"/>
    </w:rPr>
  </w:style>
  <w:style w:type="character" w:styleId="IntenseReference">
    <w:name w:val="Intense Reference"/>
    <w:basedOn w:val="DefaultParagraphFont"/>
    <w:uiPriority w:val="32"/>
    <w:qFormat/>
    <w:rsid w:val="00A161EF"/>
    <w:rPr>
      <w:b/>
      <w:bCs/>
      <w:smallCaps/>
      <w:color w:val="365F91" w:themeColor="accent1" w:themeShade="BF"/>
      <w:spacing w:val="5"/>
    </w:rPr>
  </w:style>
  <w:style w:type="paragraph" w:customStyle="1" w:styleId="textregular">
    <w:name w:val="text regular"/>
    <w:basedOn w:val="Normal"/>
    <w:qFormat/>
    <w:rsid w:val="00A161EF"/>
    <w:pPr>
      <w:spacing w:after="120" w:line="240" w:lineRule="auto"/>
    </w:pPr>
    <w:rPr>
      <w:rFonts w:ascii="Times New Roman" w:eastAsia="Times New Roman" w:hAnsi="Times New Roman" w:cs="Times New Roman"/>
      <w:kern w:val="0"/>
      <w:lang w:val="en-GB"/>
      <w14:ligatures w14:val="none"/>
    </w:rPr>
  </w:style>
  <w:style w:type="paragraph" w:customStyle="1" w:styleId="Point0number">
    <w:name w:val="Point 0 (number)"/>
    <w:basedOn w:val="Normal"/>
    <w:rsid w:val="00A161EF"/>
    <w:pPr>
      <w:numPr>
        <w:numId w:val="1"/>
      </w:numPr>
      <w:spacing w:before="120" w:after="120" w:line="240" w:lineRule="auto"/>
      <w:jc w:val="both"/>
    </w:pPr>
    <w:rPr>
      <w:rFonts w:ascii="Times New Roman" w:hAnsi="Times New Roman" w:cs="Times New Roman"/>
      <w:kern w:val="0"/>
      <w:sz w:val="24"/>
      <w:lang w:val="en-GB"/>
      <w14:ligatures w14:val="none"/>
    </w:rPr>
  </w:style>
  <w:style w:type="paragraph" w:customStyle="1" w:styleId="Point1number">
    <w:name w:val="Point 1 (number)"/>
    <w:basedOn w:val="Normal"/>
    <w:rsid w:val="00A161EF"/>
    <w:pPr>
      <w:numPr>
        <w:ilvl w:val="2"/>
        <w:numId w:val="1"/>
      </w:numPr>
      <w:spacing w:before="120" w:after="120" w:line="240" w:lineRule="auto"/>
      <w:jc w:val="both"/>
    </w:pPr>
    <w:rPr>
      <w:rFonts w:ascii="Times New Roman" w:hAnsi="Times New Roman" w:cs="Times New Roman"/>
      <w:kern w:val="0"/>
      <w:sz w:val="24"/>
      <w:lang w:val="en-GB"/>
      <w14:ligatures w14:val="none"/>
    </w:rPr>
  </w:style>
  <w:style w:type="paragraph" w:customStyle="1" w:styleId="Point2number">
    <w:name w:val="Point 2 (number)"/>
    <w:basedOn w:val="Normal"/>
    <w:rsid w:val="00A161EF"/>
    <w:pPr>
      <w:numPr>
        <w:ilvl w:val="4"/>
        <w:numId w:val="1"/>
      </w:numPr>
      <w:spacing w:before="120" w:after="120" w:line="240" w:lineRule="auto"/>
      <w:jc w:val="both"/>
    </w:pPr>
    <w:rPr>
      <w:rFonts w:ascii="Times New Roman" w:hAnsi="Times New Roman" w:cs="Times New Roman"/>
      <w:kern w:val="0"/>
      <w:sz w:val="24"/>
      <w:lang w:val="en-GB"/>
      <w14:ligatures w14:val="none"/>
    </w:rPr>
  </w:style>
  <w:style w:type="paragraph" w:customStyle="1" w:styleId="Point3number">
    <w:name w:val="Point 3 (number)"/>
    <w:basedOn w:val="Normal"/>
    <w:rsid w:val="00A161EF"/>
    <w:pPr>
      <w:numPr>
        <w:ilvl w:val="6"/>
        <w:numId w:val="1"/>
      </w:numPr>
      <w:spacing w:before="120" w:after="120" w:line="240" w:lineRule="auto"/>
      <w:jc w:val="both"/>
    </w:pPr>
    <w:rPr>
      <w:rFonts w:ascii="Times New Roman" w:hAnsi="Times New Roman" w:cs="Times New Roman"/>
      <w:kern w:val="0"/>
      <w:sz w:val="24"/>
      <w:lang w:val="en-GB"/>
      <w14:ligatures w14:val="none"/>
    </w:rPr>
  </w:style>
  <w:style w:type="paragraph" w:customStyle="1" w:styleId="Point0letter">
    <w:name w:val="Point 0 (letter)"/>
    <w:basedOn w:val="Normal"/>
    <w:rsid w:val="00A161EF"/>
    <w:pPr>
      <w:numPr>
        <w:ilvl w:val="1"/>
        <w:numId w:val="1"/>
      </w:numPr>
      <w:tabs>
        <w:tab w:val="clear" w:pos="850"/>
        <w:tab w:val="num" w:pos="360"/>
      </w:tabs>
      <w:spacing w:before="120" w:after="120" w:line="240" w:lineRule="auto"/>
      <w:ind w:left="0" w:firstLine="0"/>
      <w:jc w:val="both"/>
    </w:pPr>
    <w:rPr>
      <w:rFonts w:ascii="Times New Roman" w:hAnsi="Times New Roman" w:cs="Times New Roman"/>
      <w:kern w:val="0"/>
      <w:sz w:val="24"/>
      <w:lang w:val="en-GB"/>
      <w14:ligatures w14:val="none"/>
    </w:rPr>
  </w:style>
  <w:style w:type="paragraph" w:customStyle="1" w:styleId="Point2letter">
    <w:name w:val="Point 2 (letter)"/>
    <w:basedOn w:val="Normal"/>
    <w:rsid w:val="00A161EF"/>
    <w:pPr>
      <w:numPr>
        <w:ilvl w:val="5"/>
        <w:numId w:val="1"/>
      </w:numPr>
      <w:spacing w:before="120" w:after="120" w:line="240" w:lineRule="auto"/>
      <w:jc w:val="both"/>
    </w:pPr>
    <w:rPr>
      <w:rFonts w:ascii="Times New Roman" w:hAnsi="Times New Roman" w:cs="Times New Roman"/>
      <w:kern w:val="0"/>
      <w:sz w:val="24"/>
      <w:lang w:val="en-GB"/>
      <w14:ligatures w14:val="none"/>
    </w:rPr>
  </w:style>
  <w:style w:type="paragraph" w:customStyle="1" w:styleId="Point3letter">
    <w:name w:val="Point 3 (letter)"/>
    <w:basedOn w:val="Normal"/>
    <w:rsid w:val="00A161EF"/>
    <w:pPr>
      <w:numPr>
        <w:ilvl w:val="7"/>
        <w:numId w:val="1"/>
      </w:numPr>
      <w:spacing w:before="120" w:after="120" w:line="240" w:lineRule="auto"/>
      <w:jc w:val="both"/>
    </w:pPr>
    <w:rPr>
      <w:rFonts w:ascii="Times New Roman" w:hAnsi="Times New Roman" w:cs="Times New Roman"/>
      <w:kern w:val="0"/>
      <w:sz w:val="24"/>
      <w:lang w:val="en-GB"/>
      <w14:ligatures w14:val="none"/>
    </w:rPr>
  </w:style>
  <w:style w:type="paragraph" w:customStyle="1" w:styleId="Point4letter">
    <w:name w:val="Point 4 (letter)"/>
    <w:basedOn w:val="Normal"/>
    <w:rsid w:val="00A161EF"/>
    <w:pPr>
      <w:numPr>
        <w:ilvl w:val="8"/>
        <w:numId w:val="1"/>
      </w:numPr>
      <w:spacing w:before="120" w:after="120" w:line="240" w:lineRule="auto"/>
      <w:jc w:val="both"/>
    </w:pPr>
    <w:rPr>
      <w:rFonts w:ascii="Times New Roman" w:hAnsi="Times New Roman" w:cs="Times New Roman"/>
      <w:kern w:val="0"/>
      <w:sz w:val="24"/>
      <w:lang w:val="en-GB"/>
      <w14:ligatures w14:val="none"/>
    </w:rPr>
  </w:style>
  <w:style w:type="character" w:styleId="CommentReference">
    <w:name w:val="annotation reference"/>
    <w:aliases w:val="Stinking Styles6,Marque de commentaire1,Rimando commento,Verwijzing opmerking,Merknadsreferanse,Marque de commentaire"/>
    <w:uiPriority w:val="99"/>
    <w:rsid w:val="00A161EF"/>
    <w:rPr>
      <w:sz w:val="16"/>
      <w:szCs w:val="16"/>
    </w:rPr>
  </w:style>
  <w:style w:type="paragraph" w:styleId="CommentText">
    <w:name w:val="annotation text"/>
    <w:aliases w:val="Stinking Styles5,Testo commento,Tekst opmerking,Merknadstekst,Texto comentario,Commentaire"/>
    <w:basedOn w:val="Normal"/>
    <w:link w:val="CommentTextChar"/>
    <w:uiPriority w:val="99"/>
    <w:rsid w:val="00A161EF"/>
    <w:pPr>
      <w:suppressAutoHyphens/>
      <w:spacing w:after="0" w:line="240" w:lineRule="auto"/>
    </w:pPr>
    <w:rPr>
      <w:rFonts w:ascii="Times New Roman" w:eastAsia="Times New Roman" w:hAnsi="Times New Roman" w:cs="Times New Roman"/>
      <w:kern w:val="0"/>
      <w:sz w:val="20"/>
      <w:szCs w:val="20"/>
      <w:lang w:val="et-EE" w:eastAsia="ar-SA"/>
      <w14:ligatures w14:val="none"/>
    </w:rPr>
  </w:style>
  <w:style w:type="character" w:customStyle="1" w:styleId="CommentTextChar">
    <w:name w:val="Comment Text Char"/>
    <w:aliases w:val="Stinking Styles5 Char,Testo commento Char,Tekst opmerking Char,Merknadstekst Char,Texto comentario Char,Commentaire Char"/>
    <w:basedOn w:val="DefaultParagraphFont"/>
    <w:link w:val="CommentText"/>
    <w:uiPriority w:val="99"/>
    <w:rsid w:val="00A161EF"/>
    <w:rPr>
      <w:rFonts w:ascii="Times New Roman" w:eastAsia="Times New Roman" w:hAnsi="Times New Roman" w:cs="Times New Roman"/>
      <w:kern w:val="0"/>
      <w:sz w:val="20"/>
      <w:szCs w:val="20"/>
      <w:lang w:val="et-EE" w:eastAsia="ar-SA"/>
      <w14:ligatures w14:val="none"/>
    </w:rPr>
  </w:style>
  <w:style w:type="table" w:styleId="TableGrid">
    <w:name w:val="Table Grid"/>
    <w:basedOn w:val="TableNormal"/>
    <w:uiPriority w:val="59"/>
    <w:rsid w:val="0032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
    <w:link w:val="ListParagraph"/>
    <w:uiPriority w:val="34"/>
    <w:qFormat/>
    <w:locked/>
    <w:rsid w:val="00722BB9"/>
  </w:style>
  <w:style w:type="paragraph" w:styleId="Caption">
    <w:name w:val="caption"/>
    <w:aliases w:val="Number"/>
    <w:basedOn w:val="Normal"/>
    <w:qFormat/>
    <w:rsid w:val="00402CBA"/>
    <w:pPr>
      <w:suppressAutoHyphens/>
      <w:spacing w:before="120" w:after="0" w:line="240" w:lineRule="auto"/>
      <w:jc w:val="both"/>
    </w:pPr>
    <w:rPr>
      <w:rFonts w:ascii="Arial" w:eastAsia="SimSun" w:hAnsi="Arial" w:cs="Arial"/>
      <w:kern w:val="0"/>
      <w:sz w:val="24"/>
      <w:szCs w:val="24"/>
      <w:lang w:val="en-GB" w:eastAsia="ar-SA"/>
      <w14:ligatures w14:val="none"/>
    </w:rPr>
  </w:style>
  <w:style w:type="paragraph" w:customStyle="1" w:styleId="NumPar1">
    <w:name w:val="NumPar 1"/>
    <w:basedOn w:val="Normal"/>
    <w:next w:val="Normal"/>
    <w:rsid w:val="004335C0"/>
    <w:pPr>
      <w:numPr>
        <w:numId w:val="2"/>
      </w:numPr>
      <w:spacing w:before="120" w:after="120" w:line="240" w:lineRule="auto"/>
      <w:jc w:val="both"/>
    </w:pPr>
    <w:rPr>
      <w:rFonts w:ascii="Times New Roman" w:hAnsi="Times New Roman" w:cs="Times New Roman"/>
      <w:kern w:val="0"/>
      <w:sz w:val="24"/>
      <w:lang w:val="en-GB"/>
      <w14:ligatures w14:val="none"/>
    </w:rPr>
  </w:style>
  <w:style w:type="paragraph" w:customStyle="1" w:styleId="NumPar2">
    <w:name w:val="NumPar 2"/>
    <w:basedOn w:val="Normal"/>
    <w:next w:val="Normal"/>
    <w:rsid w:val="00635328"/>
    <w:pPr>
      <w:numPr>
        <w:ilvl w:val="1"/>
        <w:numId w:val="2"/>
      </w:numPr>
      <w:spacing w:before="120" w:after="120" w:line="240" w:lineRule="auto"/>
      <w:jc w:val="both"/>
    </w:pPr>
    <w:rPr>
      <w:rFonts w:ascii="Times New Roman" w:hAnsi="Times New Roman" w:cs="Times New Roman"/>
      <w:kern w:val="0"/>
      <w:sz w:val="24"/>
      <w:lang w:val="en-GB"/>
      <w14:ligatures w14:val="none"/>
    </w:rPr>
  </w:style>
  <w:style w:type="paragraph" w:customStyle="1" w:styleId="NumPar3">
    <w:name w:val="NumPar 3"/>
    <w:basedOn w:val="Normal"/>
    <w:next w:val="Normal"/>
    <w:rsid w:val="00635328"/>
    <w:pPr>
      <w:numPr>
        <w:ilvl w:val="2"/>
        <w:numId w:val="2"/>
      </w:numPr>
      <w:spacing w:before="120" w:after="120" w:line="240" w:lineRule="auto"/>
      <w:jc w:val="both"/>
    </w:pPr>
    <w:rPr>
      <w:rFonts w:ascii="Times New Roman" w:hAnsi="Times New Roman" w:cs="Times New Roman"/>
      <w:kern w:val="0"/>
      <w:sz w:val="24"/>
      <w:lang w:val="en-GB"/>
      <w14:ligatures w14:val="none"/>
    </w:rPr>
  </w:style>
  <w:style w:type="paragraph" w:customStyle="1" w:styleId="NumPar4">
    <w:name w:val="NumPar 4"/>
    <w:basedOn w:val="Normal"/>
    <w:next w:val="Normal"/>
    <w:rsid w:val="00635328"/>
    <w:pPr>
      <w:numPr>
        <w:ilvl w:val="3"/>
        <w:numId w:val="2"/>
      </w:numPr>
      <w:spacing w:before="120" w:after="120" w:line="240" w:lineRule="auto"/>
      <w:jc w:val="both"/>
    </w:pPr>
    <w:rPr>
      <w:rFonts w:ascii="Times New Roman" w:hAnsi="Times New Roman" w:cs="Times New Roman"/>
      <w:kern w:val="0"/>
      <w:sz w:val="24"/>
      <w:lang w:val="en-GB"/>
      <w14:ligatures w14:val="none"/>
    </w:rPr>
  </w:style>
  <w:style w:type="paragraph" w:customStyle="1" w:styleId="Bullet01">
    <w:name w:val="Bullet01"/>
    <w:basedOn w:val="Normal"/>
    <w:link w:val="Bullet01Char"/>
    <w:qFormat/>
    <w:rsid w:val="004B52C6"/>
    <w:pPr>
      <w:numPr>
        <w:numId w:val="3"/>
      </w:numPr>
      <w:spacing w:before="100" w:beforeAutospacing="1" w:after="0" w:line="360" w:lineRule="auto"/>
      <w:jc w:val="both"/>
    </w:pPr>
    <w:rPr>
      <w:rFonts w:ascii="Times New Roman" w:eastAsia="Times New Roman" w:hAnsi="Times New Roman" w:cs="Times New Roman"/>
      <w:kern w:val="0"/>
      <w:sz w:val="24"/>
      <w:szCs w:val="24"/>
      <w:lang w:val="et-EE"/>
      <w14:ligatures w14:val="none"/>
    </w:rPr>
  </w:style>
  <w:style w:type="character" w:customStyle="1" w:styleId="Bullet01Char">
    <w:name w:val="Bullet01 Char"/>
    <w:basedOn w:val="DefaultParagraphFont"/>
    <w:link w:val="Bullet01"/>
    <w:rsid w:val="00635328"/>
    <w:rPr>
      <w:rFonts w:ascii="Times New Roman" w:eastAsia="Times New Roman" w:hAnsi="Times New Roman" w:cs="Times New Roman"/>
      <w:kern w:val="0"/>
      <w:sz w:val="24"/>
      <w:szCs w:val="24"/>
      <w:lang w:val="et-EE"/>
      <w14:ligatures w14:val="none"/>
    </w:rPr>
  </w:style>
  <w:style w:type="paragraph" w:styleId="CommentSubject">
    <w:name w:val="annotation subject"/>
    <w:basedOn w:val="CommentText"/>
    <w:next w:val="CommentText"/>
    <w:link w:val="CommentSubjectChar"/>
    <w:uiPriority w:val="99"/>
    <w:semiHidden/>
    <w:unhideWhenUsed/>
    <w:rsid w:val="00635328"/>
    <w:pPr>
      <w:suppressAutoHyphens w:val="0"/>
      <w:spacing w:after="200"/>
    </w:pPr>
    <w:rPr>
      <w:rFonts w:asciiTheme="minorHAnsi" w:eastAsiaTheme="minorHAnsi" w:hAnsiTheme="minorHAnsi" w:cstheme="minorBidi"/>
      <w:b/>
      <w:bCs/>
      <w:kern w:val="2"/>
      <w:lang w:val="lv-LV" w:eastAsia="en-US"/>
      <w14:ligatures w14:val="standardContextual"/>
    </w:rPr>
  </w:style>
  <w:style w:type="character" w:customStyle="1" w:styleId="CommentSubjectChar">
    <w:name w:val="Comment Subject Char"/>
    <w:basedOn w:val="CommentTextChar"/>
    <w:link w:val="CommentSubject"/>
    <w:uiPriority w:val="99"/>
    <w:semiHidden/>
    <w:rsid w:val="00635328"/>
    <w:rPr>
      <w:rFonts w:ascii="Times New Roman" w:eastAsia="Times New Roman" w:hAnsi="Times New Roman" w:cs="Times New Roman"/>
      <w:b/>
      <w:bCs/>
      <w:kern w:val="0"/>
      <w:sz w:val="20"/>
      <w:szCs w:val="20"/>
      <w:lang w:val="et-EE" w:eastAsia="ar-SA"/>
      <w14:ligatures w14:val="none"/>
    </w:rPr>
  </w:style>
  <w:style w:type="paragraph" w:customStyle="1" w:styleId="Paragraphe">
    <w:name w:val="Paragraphe"/>
    <w:basedOn w:val="Normal"/>
    <w:qFormat/>
    <w:rsid w:val="00635328"/>
    <w:pPr>
      <w:keepLines/>
      <w:widowControl w:val="0"/>
      <w:autoSpaceDE w:val="0"/>
      <w:autoSpaceDN w:val="0"/>
      <w:spacing w:before="120" w:after="60"/>
      <w:jc w:val="both"/>
    </w:pPr>
    <w:rPr>
      <w:rFonts w:eastAsia="Times New Roman" w:cstheme="minorHAnsi"/>
      <w:kern w:val="0"/>
      <w:szCs w:val="24"/>
      <w:lang w:val="fr-FR" w:eastAsia="fr-FR"/>
      <w14:ligatures w14:val="none"/>
    </w:rPr>
  </w:style>
  <w:style w:type="paragraph" w:styleId="Revision">
    <w:name w:val="Revision"/>
    <w:hidden/>
    <w:uiPriority w:val="99"/>
    <w:semiHidden/>
    <w:rsid w:val="00DC7175"/>
    <w:pPr>
      <w:spacing w:after="0" w:line="240" w:lineRule="auto"/>
    </w:pPr>
  </w:style>
  <w:style w:type="paragraph" w:styleId="Header">
    <w:name w:val="header"/>
    <w:basedOn w:val="Normal"/>
    <w:link w:val="HeaderChar"/>
    <w:uiPriority w:val="99"/>
    <w:semiHidden/>
    <w:unhideWhenUsed/>
    <w:rsid w:val="0021740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17406"/>
  </w:style>
  <w:style w:type="paragraph" w:styleId="Footer">
    <w:name w:val="footer"/>
    <w:basedOn w:val="Normal"/>
    <w:link w:val="FooterChar"/>
    <w:uiPriority w:val="99"/>
    <w:semiHidden/>
    <w:unhideWhenUsed/>
    <w:rsid w:val="0021740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17406"/>
  </w:style>
  <w:style w:type="character" w:styleId="Mention">
    <w:name w:val="Mention"/>
    <w:basedOn w:val="DefaultParagraphFont"/>
    <w:uiPriority w:val="99"/>
    <w:unhideWhenUsed/>
    <w:rsid w:val="00A74A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E201C7D0845544F8C28EB54ED8B0473" ma:contentTypeVersion="8" ma:contentTypeDescription="Izveidot jaunu dokumentu." ma:contentTypeScope="" ma:versionID="74ea327f50de0dfbe2176f69a7c3a301">
  <xsd:schema xmlns:xsd="http://www.w3.org/2001/XMLSchema" xmlns:xs="http://www.w3.org/2001/XMLSchema" xmlns:p="http://schemas.microsoft.com/office/2006/metadata/properties" xmlns:ns2="ce561b39-6287-413d-bb11-5ba8452865e0" xmlns:ns3="b951356f-a2c2-453e-b255-94bd61ec93c2" targetNamespace="http://schemas.microsoft.com/office/2006/metadata/properties" ma:root="true" ma:fieldsID="1e3ef9745a99ef20b3ffcc7d3074db79" ns2:_="" ns3:_="">
    <xsd:import namespace="ce561b39-6287-413d-bb11-5ba8452865e0"/>
    <xsd:import namespace="b951356f-a2c2-453e-b255-94bd61ec9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1b39-6287-413d-bb11-5ba845286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1356f-a2c2-453e-b255-94bd61ec93c2"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68286-B9F7-4762-910E-FC8027CCF3B8}">
  <ds:schemaRefs>
    <ds:schemaRef ds:uri="http://schemas.openxmlformats.org/officeDocument/2006/bibliography"/>
  </ds:schemaRefs>
</ds:datastoreItem>
</file>

<file path=customXml/itemProps2.xml><?xml version="1.0" encoding="utf-8"?>
<ds:datastoreItem xmlns:ds="http://schemas.openxmlformats.org/officeDocument/2006/customXml" ds:itemID="{1A2EE80A-B481-4EB3-AA81-C8372478ABD9}">
  <ds:schemaRefs>
    <ds:schemaRef ds:uri="http://schemas.microsoft.com/sharepoint/v3/contenttype/forms"/>
  </ds:schemaRefs>
</ds:datastoreItem>
</file>

<file path=customXml/itemProps3.xml><?xml version="1.0" encoding="utf-8"?>
<ds:datastoreItem xmlns:ds="http://schemas.openxmlformats.org/officeDocument/2006/customXml" ds:itemID="{E3B49CBB-B558-45DB-8B75-A9C42490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1b39-6287-413d-bb11-5ba8452865e0"/>
    <ds:schemaRef ds:uri="b951356f-a2c2-453e-b255-94bd61ec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7BC40-2C48-4A8A-9F67-433DB806C0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30239</Words>
  <Characters>17237</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47382</CharactersWithSpaces>
  <SharedDoc>false</SharedDoc>
  <HLinks>
    <vt:vector size="12" baseType="variant">
      <vt:variant>
        <vt:i4>1245220</vt:i4>
      </vt:variant>
      <vt:variant>
        <vt:i4>3</vt:i4>
      </vt:variant>
      <vt:variant>
        <vt:i4>0</vt:i4>
      </vt:variant>
      <vt:variant>
        <vt:i4>5</vt:i4>
      </vt:variant>
      <vt:variant>
        <vt:lpwstr>mailto:kertmani@tso.lv</vt:lpwstr>
      </vt:variant>
      <vt:variant>
        <vt:lpwstr/>
      </vt:variant>
      <vt:variant>
        <vt:i4>1245220</vt:i4>
      </vt:variant>
      <vt:variant>
        <vt:i4>0</vt:i4>
      </vt:variant>
      <vt:variant>
        <vt:i4>0</vt:i4>
      </vt:variant>
      <vt:variant>
        <vt:i4>5</vt:i4>
      </vt:variant>
      <vt:variant>
        <vt:lpwstr>mailto:kertmani@tso.lv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Āboliņa</dc:creator>
  <cp:lastModifiedBy>Zane Āboliņa</cp:lastModifiedBy>
  <cp:revision>3</cp:revision>
  <dcterms:created xsi:type="dcterms:W3CDTF">2024-12-27T21:40:00Z</dcterms:created>
  <dcterms:modified xsi:type="dcterms:W3CDTF">2024-12-27T22:57:00Z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0x0101007E201C7D0845544F8C28EB54ED8B0473</vt:lpwstr>
  </property>
  <property fmtid="{D5CDD505-2E9C-101B-9397-08002B2CF9AE}" pid="3" name="MSIP_Label_66cffd26-8a8e-4271-ae8c-0448cc98c6fa_ActionId">
    <vt:lpwstr>7078e1cb-0755-4768-b767-89c2bbc2e9b7</vt:lpwstr>
  </property>
  <property fmtid="{D5CDD505-2E9C-101B-9397-08002B2CF9AE}" pid="4" name="MSIP_Label_66cffd26-8a8e-4271-ae8c-0448cc98c6fa_ContentBits">
    <vt:lpwstr>0</vt:lpwstr>
  </property>
  <property fmtid="{D5CDD505-2E9C-101B-9397-08002B2CF9AE}" pid="5" name="MSIP_Label_66cffd26-8a8e-4271-ae8c-0448cc98c6fa_Enabled">
    <vt:lpwstr>true</vt:lpwstr>
  </property>
  <property fmtid="{D5CDD505-2E9C-101B-9397-08002B2CF9AE}" pid="6" name="MSIP_Label_66cffd26-8a8e-4271-ae8c-0448cc98c6fa_Method">
    <vt:lpwstr>Standard</vt:lpwstr>
  </property>
  <property fmtid="{D5CDD505-2E9C-101B-9397-08002B2CF9AE}" pid="7" name="MSIP_Label_66cffd26-8a8e-4271-ae8c-0448cc98c6fa_Name">
    <vt:lpwstr>AST dokumenti</vt:lpwstr>
  </property>
  <property fmtid="{D5CDD505-2E9C-101B-9397-08002B2CF9AE}" pid="8" name="MSIP_Label_66cffd26-8a8e-4271-ae8c-0448cc98c6fa_SetDate">
    <vt:lpwstr>2024-08-20T14:08:43Z</vt:lpwstr>
  </property>
  <property fmtid="{D5CDD505-2E9C-101B-9397-08002B2CF9AE}" pid="9" name="MSIP_Label_66cffd26-8a8e-4271-ae8c-0448cc98c6fa_SiteId">
    <vt:lpwstr>c4c0dd7c-1dfb-4088-9303-96b608da35b3</vt:lpwstr>
  </property>
</Properties>
</file>