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EFB7A" w14:textId="0A56ADB0" w:rsidR="00E66CF1" w:rsidRPr="00C65030" w:rsidRDefault="00FC1AA1" w:rsidP="000B1A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bidi="en-GB"/>
        </w:rPr>
        <w:t>J</w:t>
      </w:r>
      <w:r w:rsidR="00E66CF1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bidi="en-GB"/>
        </w:rPr>
        <w:t>C</w:t>
      </w:r>
      <w:r w:rsidR="00E66CF1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“Augstsprieguma tīkls”</w:t>
      </w:r>
    </w:p>
    <w:p w14:paraId="5B823DAD" w14:textId="77777777" w:rsidR="00E66CF1" w:rsidRPr="00C65030" w:rsidRDefault="00E66CF1" w:rsidP="000B1A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Dārzciema iela 86</w:t>
      </w:r>
    </w:p>
    <w:p w14:paraId="2E850531" w14:textId="77777777" w:rsidR="00E66CF1" w:rsidRPr="00C65030" w:rsidRDefault="00E66CF1" w:rsidP="000B1A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Riga</w:t>
      </w:r>
    </w:p>
    <w:p w14:paraId="4024FF7E" w14:textId="77777777" w:rsidR="00E66CF1" w:rsidRPr="00C65030" w:rsidRDefault="00E66CF1" w:rsidP="000B1A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LV-1073</w:t>
      </w:r>
    </w:p>
    <w:p w14:paraId="666A64AE" w14:textId="77777777" w:rsidR="00E66CF1" w:rsidRPr="00C65030" w:rsidRDefault="00E66CF1" w:rsidP="000B1A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ast@ast.lv</w:t>
      </w:r>
    </w:p>
    <w:p w14:paraId="22392B22" w14:textId="77777777" w:rsidR="00EC07B9" w:rsidRPr="00C65030" w:rsidRDefault="00EC07B9" w:rsidP="000B1AA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39D4049" w14:textId="009764BD" w:rsidR="005766AC" w:rsidRPr="00C65030" w:rsidRDefault="00E66CF1" w:rsidP="000B1AA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5030">
        <w:rPr>
          <w:rFonts w:ascii="Times New Roman" w:eastAsia="Times New Roman" w:hAnsi="Times New Roman" w:cs="Times New Roman"/>
          <w:b/>
          <w:sz w:val="20"/>
          <w:szCs w:val="20"/>
          <w:lang w:bidi="en-GB"/>
        </w:rPr>
        <w:t xml:space="preserve">Application regarding the use of a reserve unit – manual frequency restoration reserve </w:t>
      </w:r>
      <w:r w:rsidR="00AF1EDD">
        <w:rPr>
          <w:rFonts w:ascii="Times New Roman" w:eastAsia="Times New Roman" w:hAnsi="Times New Roman" w:cs="Times New Roman"/>
          <w:b/>
          <w:sz w:val="20"/>
          <w:szCs w:val="20"/>
          <w:lang w:bidi="en-GB"/>
        </w:rPr>
        <w:t>providing</w:t>
      </w:r>
      <w:r w:rsidR="00AF1EDD" w:rsidRPr="00C65030">
        <w:rPr>
          <w:rFonts w:ascii="Times New Roman" w:eastAsia="Times New Roman" w:hAnsi="Times New Roman" w:cs="Times New Roman"/>
          <w:b/>
          <w:sz w:val="20"/>
          <w:szCs w:val="20"/>
          <w:lang w:bidi="en-GB"/>
        </w:rPr>
        <w:t xml:space="preserve"> </w:t>
      </w:r>
      <w:r w:rsidRPr="00C65030">
        <w:rPr>
          <w:rFonts w:ascii="Times New Roman" w:eastAsia="Times New Roman" w:hAnsi="Times New Roman" w:cs="Times New Roman"/>
          <w:b/>
          <w:sz w:val="20"/>
          <w:szCs w:val="20"/>
          <w:lang w:bidi="en-GB"/>
        </w:rPr>
        <w:t xml:space="preserve">unit, reserve </w:t>
      </w:r>
      <w:r w:rsidR="00AF1EDD">
        <w:rPr>
          <w:rFonts w:ascii="Times New Roman" w:eastAsia="Times New Roman" w:hAnsi="Times New Roman" w:cs="Times New Roman"/>
          <w:b/>
          <w:sz w:val="20"/>
          <w:szCs w:val="20"/>
          <w:lang w:bidi="en-GB"/>
        </w:rPr>
        <w:t>providing</w:t>
      </w:r>
      <w:r w:rsidR="00AF1EDD" w:rsidRPr="00C65030">
        <w:rPr>
          <w:rFonts w:ascii="Times New Roman" w:eastAsia="Times New Roman" w:hAnsi="Times New Roman" w:cs="Times New Roman"/>
          <w:b/>
          <w:sz w:val="20"/>
          <w:szCs w:val="20"/>
          <w:lang w:bidi="en-GB"/>
        </w:rPr>
        <w:t xml:space="preserve"> </w:t>
      </w:r>
      <w:r w:rsidRPr="00C65030">
        <w:rPr>
          <w:rFonts w:ascii="Times New Roman" w:eastAsia="Times New Roman" w:hAnsi="Times New Roman" w:cs="Times New Roman"/>
          <w:b/>
          <w:sz w:val="20"/>
          <w:szCs w:val="20"/>
          <w:lang w:bidi="en-GB"/>
        </w:rPr>
        <w:t>group or storage unit – for the provision of the balancing service</w:t>
      </w:r>
    </w:p>
    <w:p w14:paraId="1FF2E876" w14:textId="77777777" w:rsidR="004450F1" w:rsidRPr="00C65030" w:rsidRDefault="004450F1" w:rsidP="004450F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2"/>
      </w:tblGrid>
      <w:tr w:rsidR="00FE14E8" w:rsidRPr="00C65030" w14:paraId="7351B095" w14:textId="77777777" w:rsidTr="0046798D">
        <w:tc>
          <w:tcPr>
            <w:tcW w:w="8312" w:type="dxa"/>
          </w:tcPr>
          <w:p w14:paraId="2AB753B2" w14:textId="4A177CC8" w:rsidR="0046798D" w:rsidRPr="00C65030" w:rsidRDefault="00FE14E8" w:rsidP="00FE14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030">
              <w:rPr>
                <w:rFonts w:ascii="Times New Roman" w:eastAsia="Times New Roman" w:hAnsi="Times New Roman" w:cs="Times New Roman"/>
                <w:sz w:val="20"/>
                <w:szCs w:val="20"/>
                <w:lang w:bidi="en-GB"/>
              </w:rPr>
              <w:t xml:space="preserve">Based on _______________________________________________________ (hereinafter – </w:t>
            </w:r>
            <w:r w:rsidRPr="00C650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GB"/>
              </w:rPr>
              <w:t>BSP</w:t>
            </w:r>
            <w:r w:rsidRPr="00C65030">
              <w:rPr>
                <w:rFonts w:ascii="Times New Roman" w:eastAsia="Times New Roman" w:hAnsi="Times New Roman" w:cs="Times New Roman"/>
                <w:sz w:val="20"/>
                <w:szCs w:val="20"/>
                <w:lang w:bidi="en-GB"/>
              </w:rPr>
              <w:t>)</w:t>
            </w:r>
          </w:p>
          <w:p w14:paraId="54CDB97C" w14:textId="67C4C726" w:rsidR="00FE14E8" w:rsidRPr="00C65030" w:rsidRDefault="00C65030" w:rsidP="00C65030">
            <w:pPr>
              <w:tabs>
                <w:tab w:val="left" w:pos="27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GB"/>
              </w:rPr>
              <w:tab/>
            </w:r>
            <w:r w:rsidR="0046798D" w:rsidRPr="00C6503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GB"/>
              </w:rPr>
              <w:t>Balancing service provider</w:t>
            </w:r>
          </w:p>
        </w:tc>
      </w:tr>
      <w:tr w:rsidR="00FE14E8" w:rsidRPr="00C65030" w14:paraId="567D04F3" w14:textId="77777777" w:rsidTr="0046798D">
        <w:tc>
          <w:tcPr>
            <w:tcW w:w="8312" w:type="dxa"/>
          </w:tcPr>
          <w:p w14:paraId="3D17D617" w14:textId="515AABB5" w:rsidR="00FE14E8" w:rsidRPr="00C65030" w:rsidRDefault="0046798D" w:rsidP="00FE14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030">
              <w:rPr>
                <w:rFonts w:ascii="Times New Roman" w:eastAsia="Times New Roman" w:hAnsi="Times New Roman" w:cs="Times New Roman"/>
                <w:sz w:val="20"/>
                <w:szCs w:val="20"/>
                <w:lang w:bidi="en-GB"/>
              </w:rPr>
              <w:t xml:space="preserve">and </w:t>
            </w:r>
            <w:r w:rsidR="00FC1AA1">
              <w:rPr>
                <w:rFonts w:ascii="Times New Roman" w:eastAsia="Times New Roman" w:hAnsi="Times New Roman" w:cs="Times New Roman"/>
                <w:sz w:val="20"/>
                <w:szCs w:val="20"/>
                <w:lang w:bidi="en-GB"/>
              </w:rPr>
              <w:t>J</w:t>
            </w:r>
            <w:r w:rsidRPr="00C65030">
              <w:rPr>
                <w:rFonts w:ascii="Times New Roman" w:eastAsia="Times New Roman" w:hAnsi="Times New Roman" w:cs="Times New Roman"/>
                <w:sz w:val="20"/>
                <w:szCs w:val="20"/>
                <w:lang w:bidi="en-GB"/>
              </w:rPr>
              <w:t>S</w:t>
            </w:r>
            <w:r w:rsidR="00FC1AA1">
              <w:rPr>
                <w:rFonts w:ascii="Times New Roman" w:eastAsia="Times New Roman" w:hAnsi="Times New Roman" w:cs="Times New Roman"/>
                <w:sz w:val="20"/>
                <w:szCs w:val="20"/>
                <w:lang w:bidi="en-GB"/>
              </w:rPr>
              <w:t>C</w:t>
            </w:r>
            <w:r w:rsidRPr="00C65030">
              <w:rPr>
                <w:rFonts w:ascii="Times New Roman" w:eastAsia="Times New Roman" w:hAnsi="Times New Roman" w:cs="Times New Roman"/>
                <w:sz w:val="20"/>
                <w:szCs w:val="20"/>
                <w:lang w:bidi="en-GB"/>
              </w:rPr>
              <w:t xml:space="preserve"> “Augstsprieguma tīkls” (hereinafter – </w:t>
            </w:r>
            <w:r w:rsidRPr="00C650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GB"/>
              </w:rPr>
              <w:t>AST</w:t>
            </w:r>
            <w:r w:rsidRPr="00C65030">
              <w:rPr>
                <w:rFonts w:ascii="Times New Roman" w:eastAsia="Times New Roman" w:hAnsi="Times New Roman" w:cs="Times New Roman"/>
                <w:sz w:val="20"/>
                <w:szCs w:val="20"/>
                <w:lang w:bidi="en-GB"/>
              </w:rPr>
              <w:t>) System A</w:t>
            </w:r>
            <w:r w:rsidR="00CD17BC">
              <w:rPr>
                <w:rFonts w:ascii="Times New Roman" w:eastAsia="Times New Roman" w:hAnsi="Times New Roman" w:cs="Times New Roman"/>
                <w:sz w:val="20"/>
                <w:szCs w:val="20"/>
                <w:lang w:bidi="en-GB"/>
              </w:rPr>
              <w:t>nc</w:t>
            </w:r>
            <w:r w:rsidRPr="00C65030">
              <w:rPr>
                <w:rFonts w:ascii="Times New Roman" w:eastAsia="Times New Roman" w:hAnsi="Times New Roman" w:cs="Times New Roman"/>
                <w:sz w:val="20"/>
                <w:szCs w:val="20"/>
                <w:lang w:bidi="en-GB"/>
              </w:rPr>
              <w:t>il</w:t>
            </w:r>
            <w:r w:rsidR="00CD17BC">
              <w:rPr>
                <w:rFonts w:ascii="Times New Roman" w:eastAsia="Times New Roman" w:hAnsi="Times New Roman" w:cs="Times New Roman"/>
                <w:sz w:val="20"/>
                <w:szCs w:val="20"/>
                <w:lang w:bidi="en-GB"/>
              </w:rPr>
              <w:t>l</w:t>
            </w:r>
            <w:r w:rsidRPr="00C65030">
              <w:rPr>
                <w:rFonts w:ascii="Times New Roman" w:eastAsia="Times New Roman" w:hAnsi="Times New Roman" w:cs="Times New Roman"/>
                <w:sz w:val="20"/>
                <w:szCs w:val="20"/>
                <w:lang w:bidi="en-GB"/>
              </w:rPr>
              <w:t xml:space="preserve">ary Service Agreement No .____________ and Clause 3 of Annex 8 to the Decision No. 1/4 of the Public Utilities Commission of 26 June 2013 “Network </w:t>
            </w:r>
            <w:r w:rsidR="00D371C6">
              <w:rPr>
                <w:rFonts w:ascii="Times New Roman" w:eastAsia="Times New Roman" w:hAnsi="Times New Roman" w:cs="Times New Roman"/>
                <w:sz w:val="20"/>
                <w:szCs w:val="20"/>
                <w:lang w:bidi="en-GB"/>
              </w:rPr>
              <w:t>C</w:t>
            </w:r>
            <w:r w:rsidRPr="00C65030">
              <w:rPr>
                <w:rFonts w:ascii="Times New Roman" w:eastAsia="Times New Roman" w:hAnsi="Times New Roman" w:cs="Times New Roman"/>
                <w:sz w:val="20"/>
                <w:szCs w:val="20"/>
                <w:lang w:bidi="en-GB"/>
              </w:rPr>
              <w:t xml:space="preserve">ode </w:t>
            </w:r>
            <w:r w:rsidR="00D371C6">
              <w:rPr>
                <w:rFonts w:ascii="Times New Roman" w:eastAsia="Times New Roman" w:hAnsi="Times New Roman" w:cs="Times New Roman"/>
                <w:sz w:val="20"/>
                <w:szCs w:val="20"/>
                <w:lang w:bidi="en-GB"/>
              </w:rPr>
              <w:t>o</w:t>
            </w:r>
            <w:r w:rsidR="00D371C6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C65030">
              <w:rPr>
                <w:rFonts w:ascii="Times New Roman" w:eastAsia="Times New Roman" w:hAnsi="Times New Roman" w:cs="Times New Roman"/>
                <w:sz w:val="20"/>
                <w:szCs w:val="20"/>
                <w:lang w:bidi="en-GB"/>
              </w:rPr>
              <w:t xml:space="preserve"> the </w:t>
            </w:r>
            <w:r w:rsidR="00D371C6">
              <w:rPr>
                <w:rFonts w:ascii="Times New Roman" w:eastAsia="Times New Roman" w:hAnsi="Times New Roman" w:cs="Times New Roman"/>
                <w:sz w:val="20"/>
                <w:szCs w:val="20"/>
                <w:lang w:bidi="en-GB"/>
              </w:rPr>
              <w:t>E</w:t>
            </w:r>
            <w:r w:rsidRPr="00C65030">
              <w:rPr>
                <w:rFonts w:ascii="Times New Roman" w:eastAsia="Times New Roman" w:hAnsi="Times New Roman" w:cs="Times New Roman"/>
                <w:sz w:val="20"/>
                <w:szCs w:val="20"/>
                <w:lang w:bidi="en-GB"/>
              </w:rPr>
              <w:t xml:space="preserve">lectricity </w:t>
            </w:r>
            <w:r w:rsidR="00D371C6">
              <w:rPr>
                <w:rFonts w:ascii="Times New Roman" w:eastAsia="Times New Roman" w:hAnsi="Times New Roman" w:cs="Times New Roman"/>
                <w:sz w:val="20"/>
                <w:szCs w:val="20"/>
                <w:lang w:bidi="en-GB"/>
              </w:rPr>
              <w:t>S</w:t>
            </w:r>
            <w:r w:rsidRPr="00C65030">
              <w:rPr>
                <w:rFonts w:ascii="Times New Roman" w:eastAsia="Times New Roman" w:hAnsi="Times New Roman" w:cs="Times New Roman"/>
                <w:sz w:val="20"/>
                <w:szCs w:val="20"/>
                <w:lang w:bidi="en-GB"/>
              </w:rPr>
              <w:t xml:space="preserve">ector” (hereinafter – Network Code), the </w:t>
            </w:r>
            <w:r w:rsidRPr="00C650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GB"/>
              </w:rPr>
              <w:t>BSP</w:t>
            </w:r>
            <w:r w:rsidRPr="00C65030">
              <w:rPr>
                <w:rFonts w:ascii="Times New Roman" w:eastAsia="Times New Roman" w:hAnsi="Times New Roman" w:cs="Times New Roman"/>
                <w:sz w:val="20"/>
                <w:szCs w:val="20"/>
                <w:lang w:bidi="en-GB"/>
              </w:rPr>
              <w:t xml:space="preserve"> shall submit information on the use of the reserve unit for the provision of balancing services:</w:t>
            </w:r>
          </w:p>
        </w:tc>
      </w:tr>
    </w:tbl>
    <w:p w14:paraId="4754F9ED" w14:textId="77777777" w:rsidR="00F46053" w:rsidRPr="00C65030" w:rsidRDefault="00F46053" w:rsidP="000B1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348098" w14:textId="1E7A1872" w:rsidR="00CC785C" w:rsidRPr="00C65030" w:rsidRDefault="00F46053" w:rsidP="005D0D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Reserve Providing Unit (hereinafter – R</w:t>
      </w:r>
      <w:r w:rsidR="009E1ED0">
        <w:rPr>
          <w:rFonts w:ascii="Times New Roman" w:eastAsia="Times New Roman" w:hAnsi="Times New Roman" w:cs="Times New Roman"/>
          <w:sz w:val="20"/>
          <w:szCs w:val="20"/>
          <w:lang w:bidi="en-GB"/>
        </w:rPr>
        <w:t>e</w:t>
      </w: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U): _______________________________________</w:t>
      </w:r>
      <w:proofErr w:type="gramStart"/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_;</w:t>
      </w:r>
      <w:proofErr w:type="gramEnd"/>
    </w:p>
    <w:p w14:paraId="14BE4FA3" w14:textId="4D089126" w:rsidR="005D0D43" w:rsidRPr="00C65030" w:rsidRDefault="00ED0784" w:rsidP="00DB3DB3">
      <w:pPr>
        <w:spacing w:after="0" w:line="240" w:lineRule="auto"/>
        <w:ind w:left="3600" w:firstLine="72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C65030">
        <w:rPr>
          <w:rFonts w:ascii="Times New Roman" w:eastAsia="Times New Roman" w:hAnsi="Times New Roman" w:cs="Times New Roman"/>
          <w:sz w:val="20"/>
          <w:szCs w:val="20"/>
          <w:vertAlign w:val="superscript"/>
          <w:lang w:bidi="en-GB"/>
        </w:rPr>
        <w:t>Name of reserve unit</w:t>
      </w:r>
    </w:p>
    <w:p w14:paraId="3100DD1F" w14:textId="4FE6D853" w:rsidR="005D37F3" w:rsidRPr="00C65030" w:rsidRDefault="00C65030">
      <w:pPr>
        <w:spacing w:after="0" w:line="240" w:lineRule="auto"/>
        <w:ind w:left="28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 </w:t>
      </w:r>
      <w:r w:rsidR="005D37F3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___________________________________________________;</w:t>
      </w:r>
    </w:p>
    <w:p w14:paraId="092FACAE" w14:textId="1F6FB336" w:rsidR="005D37F3" w:rsidRPr="00C65030" w:rsidRDefault="00CB7E47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65030">
        <w:rPr>
          <w:rFonts w:ascii="Times New Roman" w:eastAsia="Times New Roman" w:hAnsi="Times New Roman" w:cs="Times New Roman"/>
          <w:sz w:val="20"/>
          <w:szCs w:val="20"/>
          <w:vertAlign w:val="superscript"/>
          <w:lang w:bidi="en-GB"/>
        </w:rPr>
        <w:t>RPU energy identification code (EIC)</w:t>
      </w:r>
    </w:p>
    <w:p w14:paraId="31A08BF7" w14:textId="7D140CD7" w:rsidR="00F36C2C" w:rsidRPr="00C65030" w:rsidRDefault="00C65030" w:rsidP="00F36C2C">
      <w:pPr>
        <w:spacing w:after="0" w:line="240" w:lineRule="auto"/>
        <w:ind w:left="28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 </w:t>
      </w:r>
      <w:r w:rsidR="00F36C2C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___________________________________________________;</w:t>
      </w:r>
    </w:p>
    <w:p w14:paraId="7726500E" w14:textId="5A397D47" w:rsidR="00F36C2C" w:rsidRPr="00C65030" w:rsidRDefault="00F36C2C" w:rsidP="00F36C2C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65030">
        <w:rPr>
          <w:rFonts w:ascii="Times New Roman" w:eastAsia="Times New Roman" w:hAnsi="Times New Roman" w:cs="Times New Roman"/>
          <w:sz w:val="20"/>
          <w:szCs w:val="20"/>
          <w:vertAlign w:val="superscript"/>
          <w:lang w:bidi="en-GB"/>
        </w:rPr>
        <w:t>Merchant's name</w:t>
      </w:r>
      <w:bookmarkStart w:id="0" w:name="_Hlk90461848"/>
      <w:r w:rsidRPr="00C65030">
        <w:rPr>
          <w:rFonts w:ascii="Times New Roman" w:eastAsia="Times New Roman" w:hAnsi="Times New Roman" w:cs="Times New Roman"/>
          <w:sz w:val="20"/>
          <w:szCs w:val="20"/>
          <w:vertAlign w:val="superscript"/>
          <w:lang w:bidi="en-GB"/>
        </w:rPr>
        <w:t xml:space="preserve"> (if applicable) </w:t>
      </w:r>
      <w:bookmarkEnd w:id="0"/>
    </w:p>
    <w:p w14:paraId="7FE9543E" w14:textId="240C8A8F" w:rsidR="00F36C2C" w:rsidRPr="00C65030" w:rsidRDefault="00C65030" w:rsidP="00F36C2C">
      <w:pPr>
        <w:spacing w:after="0" w:line="240" w:lineRule="auto"/>
        <w:ind w:left="28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 </w:t>
      </w:r>
      <w:r w:rsidR="00F36C2C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___________________________________________________;</w:t>
      </w:r>
    </w:p>
    <w:p w14:paraId="735F7B0F" w14:textId="3075D62A" w:rsidR="005D37F3" w:rsidRPr="00C65030" w:rsidRDefault="00C56BD4" w:rsidP="00F74D2A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bidi="en-GB"/>
        </w:rPr>
        <w:t>R</w:t>
      </w:r>
      <w:r w:rsidR="00F36C2C" w:rsidRPr="00C65030">
        <w:rPr>
          <w:rFonts w:ascii="Times New Roman" w:eastAsia="Times New Roman" w:hAnsi="Times New Roman" w:cs="Times New Roman"/>
          <w:sz w:val="20"/>
          <w:szCs w:val="20"/>
          <w:vertAlign w:val="superscript"/>
          <w:lang w:bidi="en-GB"/>
        </w:rPr>
        <w:t>egistration number (if applicable)</w:t>
      </w:r>
    </w:p>
    <w:p w14:paraId="131B63B5" w14:textId="77777777" w:rsidR="00CC785C" w:rsidRPr="00C65030" w:rsidRDefault="00CC785C" w:rsidP="00FE14E8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04B8139F" w14:textId="33A5DC0E" w:rsidR="00E543A7" w:rsidRPr="00C65030" w:rsidRDefault="00910834" w:rsidP="000B1A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Type of R</w:t>
      </w:r>
      <w:r w:rsidR="009F180C">
        <w:rPr>
          <w:rFonts w:ascii="Times New Roman" w:eastAsia="Times New Roman" w:hAnsi="Times New Roman" w:cs="Times New Roman"/>
          <w:sz w:val="20"/>
          <w:szCs w:val="20"/>
          <w:lang w:bidi="en-GB"/>
        </w:rPr>
        <w:t>e</w:t>
      </w: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U (check the appropriate): </w:t>
      </w:r>
    </w:p>
    <w:p w14:paraId="4B525638" w14:textId="6AFEE7D7" w:rsidR="00E543A7" w:rsidRPr="00C65030" w:rsidRDefault="00F074D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874694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650" w:rsidRPr="00C65030">
            <w:rPr>
              <w:rFonts w:ascii="MS Gothic" w:eastAsia="MS Gothic" w:hAnsi="MS Gothic" w:cs="Times New Roman"/>
              <w:sz w:val="20"/>
              <w:szCs w:val="20"/>
              <w:lang w:bidi="en-GB"/>
            </w:rPr>
            <w:t>☐</w:t>
          </w:r>
        </w:sdtContent>
      </w:sdt>
      <w:r w:rsidR="00D944E1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power generating </w:t>
      </w:r>
      <w:proofErr w:type="gramStart"/>
      <w:r w:rsidR="00D944E1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module;</w:t>
      </w:r>
      <w:proofErr w:type="gramEnd"/>
      <w:r w:rsidR="00D944E1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</w:t>
      </w:r>
    </w:p>
    <w:p w14:paraId="3040D869" w14:textId="77777777" w:rsidR="004C2A52" w:rsidRPr="00C65030" w:rsidRDefault="004C2A52" w:rsidP="00631319">
      <w:pPr>
        <w:pStyle w:val="ListParagraph"/>
        <w:spacing w:after="0" w:line="240" w:lineRule="auto"/>
        <w:ind w:left="792"/>
        <w:jc w:val="both"/>
        <w:rPr>
          <w:rFonts w:ascii="Times New Roman" w:hAnsi="Times New Roman" w:cs="Times New Roman"/>
          <w:sz w:val="20"/>
          <w:szCs w:val="20"/>
        </w:rPr>
      </w:pPr>
    </w:p>
    <w:p w14:paraId="2B58B4DB" w14:textId="25DA2E58" w:rsidR="000F4E5D" w:rsidRPr="00C65030" w:rsidRDefault="00E543A7" w:rsidP="001F139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power generating technology: _______________________________________</w:t>
      </w:r>
      <w:proofErr w:type="gramStart"/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_;</w:t>
      </w:r>
      <w:proofErr w:type="gramEnd"/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</w:t>
      </w:r>
    </w:p>
    <w:p w14:paraId="0FC49A17" w14:textId="77777777" w:rsidR="000F4E5D" w:rsidRPr="00C65030" w:rsidRDefault="000F4E5D" w:rsidP="000F4E5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D684B54" w14:textId="3935475F" w:rsidR="00E543A7" w:rsidRPr="00C65030" w:rsidRDefault="00FD1BBB" w:rsidP="001F139E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bidi="en-GB"/>
        </w:rPr>
        <w:t>maximum</w:t>
      </w:r>
      <w:r w:rsidR="000F4E5D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capacity: _____________</w:t>
      </w:r>
      <w:proofErr w:type="gramStart"/>
      <w:r w:rsidR="000F4E5D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MW;</w:t>
      </w:r>
      <w:proofErr w:type="gramEnd"/>
    </w:p>
    <w:p w14:paraId="67B1C53D" w14:textId="58188587" w:rsidR="003525BF" w:rsidRPr="00C65030" w:rsidRDefault="003525BF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59F3F146" w14:textId="24E26556" w:rsidR="00D5363A" w:rsidRPr="00C65030" w:rsidRDefault="00D5363A" w:rsidP="001F139E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submission of control metering data (check the selected): </w:t>
      </w:r>
    </w:p>
    <w:p w14:paraId="3FC780C8" w14:textId="231A233E" w:rsidR="003525BF" w:rsidRPr="00C65030" w:rsidRDefault="00F074D3" w:rsidP="00D5363A">
      <w:pPr>
        <w:pStyle w:val="ListParagraph"/>
        <w:spacing w:after="0" w:line="240" w:lineRule="auto"/>
        <w:ind w:left="2160" w:firstLine="72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22113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3A" w:rsidRPr="00C65030">
            <w:rPr>
              <w:rFonts w:ascii="MS Gothic" w:eastAsia="MS Gothic" w:hAnsi="MS Gothic" w:cs="Times New Roman"/>
              <w:sz w:val="20"/>
              <w:szCs w:val="20"/>
              <w:lang w:bidi="en-GB"/>
            </w:rPr>
            <w:t>☐</w:t>
          </w:r>
        </w:sdtContent>
      </w:sdt>
      <w:r w:rsidR="00E869D9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</w:t>
      </w:r>
      <w:r w:rsidR="008A2CDF">
        <w:rPr>
          <w:rFonts w:ascii="Times New Roman" w:eastAsia="Times New Roman" w:hAnsi="Times New Roman" w:cs="Times New Roman"/>
          <w:sz w:val="20"/>
          <w:szCs w:val="20"/>
          <w:lang w:bidi="en-GB"/>
        </w:rPr>
        <w:t>aggregated</w:t>
      </w:r>
      <w:r w:rsidR="00CD739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</w:t>
      </w:r>
      <w:r w:rsidR="00E869D9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real-time measurements of active </w:t>
      </w:r>
      <w:r w:rsidR="00CD7390">
        <w:rPr>
          <w:rFonts w:ascii="Times New Roman" w:eastAsia="Times New Roman" w:hAnsi="Times New Roman" w:cs="Times New Roman"/>
          <w:sz w:val="20"/>
          <w:szCs w:val="20"/>
          <w:lang w:bidi="en-GB"/>
        </w:rPr>
        <w:t>power</w:t>
      </w:r>
      <w:r w:rsidR="00CD7390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</w:t>
      </w:r>
      <w:r w:rsidR="00E869D9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will be provided in the AST SCADA </w:t>
      </w:r>
      <w:proofErr w:type="gramStart"/>
      <w:r w:rsidR="00E869D9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system;</w:t>
      </w:r>
      <w:proofErr w:type="gramEnd"/>
      <w:r w:rsidR="00E869D9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</w:t>
      </w:r>
    </w:p>
    <w:p w14:paraId="26C8C333" w14:textId="402AF96D" w:rsidR="00D5363A" w:rsidRPr="00C65030" w:rsidRDefault="00F074D3" w:rsidP="00D5363A">
      <w:pPr>
        <w:pStyle w:val="ListParagraph"/>
        <w:spacing w:after="0" w:line="240" w:lineRule="auto"/>
        <w:ind w:left="2160" w:firstLine="72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48575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3A" w:rsidRPr="00C65030">
            <w:rPr>
              <w:rFonts w:ascii="MS Gothic" w:eastAsia="MS Gothic" w:hAnsi="MS Gothic" w:cs="Times New Roman"/>
              <w:sz w:val="20"/>
              <w:szCs w:val="20"/>
              <w:lang w:bidi="en-GB"/>
            </w:rPr>
            <w:t>☐</w:t>
          </w:r>
        </w:sdtContent>
      </w:sdt>
      <w:r w:rsidR="00D5363A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control metering data will be sent using the web </w:t>
      </w:r>
      <w:proofErr w:type="gramStart"/>
      <w:r w:rsidR="00D5363A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service;</w:t>
      </w:r>
      <w:proofErr w:type="gramEnd"/>
    </w:p>
    <w:p w14:paraId="72E8DA89" w14:textId="77777777" w:rsidR="00071650" w:rsidRPr="00C65030" w:rsidRDefault="00071650" w:rsidP="0063131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D9C01F" w14:textId="3CD5DE6F" w:rsidR="00FE5CFE" w:rsidRPr="00C65030" w:rsidRDefault="00F074D3" w:rsidP="001F139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85631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650" w:rsidRPr="00C65030">
            <w:rPr>
              <w:rFonts w:ascii="MS Gothic" w:eastAsia="MS Gothic" w:hAnsi="MS Gothic" w:cs="Times New Roman"/>
              <w:sz w:val="20"/>
              <w:szCs w:val="20"/>
              <w:lang w:bidi="en-GB"/>
            </w:rPr>
            <w:t>☐</w:t>
          </w:r>
        </w:sdtContent>
      </w:sdt>
      <w:r w:rsidR="00071650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aggregation of power generating </w:t>
      </w:r>
      <w:proofErr w:type="gramStart"/>
      <w:r w:rsidR="00071650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modules;</w:t>
      </w:r>
      <w:proofErr w:type="gramEnd"/>
      <w:r w:rsidR="00071650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</w:t>
      </w:r>
    </w:p>
    <w:p w14:paraId="7B16CD3E" w14:textId="10EB4B00" w:rsidR="00FE5CFE" w:rsidRPr="00C65030" w:rsidRDefault="00FE5CFE" w:rsidP="001F139E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submission of control metering data (check the selected): </w:t>
      </w:r>
    </w:p>
    <w:p w14:paraId="6CD9D439" w14:textId="1B44C412" w:rsidR="00D5363A" w:rsidRPr="00C65030" w:rsidRDefault="00F074D3" w:rsidP="00D5363A">
      <w:pPr>
        <w:pStyle w:val="ListParagraph"/>
        <w:spacing w:after="0" w:line="240" w:lineRule="auto"/>
        <w:ind w:left="2232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24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3A" w:rsidRPr="00C65030">
            <w:rPr>
              <w:rFonts w:ascii="MS Gothic" w:eastAsia="MS Gothic" w:hAnsi="MS Gothic" w:cs="Times New Roman"/>
              <w:sz w:val="20"/>
              <w:szCs w:val="20"/>
              <w:lang w:bidi="en-GB"/>
            </w:rPr>
            <w:t>☐</w:t>
          </w:r>
        </w:sdtContent>
      </w:sdt>
      <w:r w:rsidR="00D5363A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</w:t>
      </w:r>
      <w:r w:rsidR="008A2CDF">
        <w:rPr>
          <w:rFonts w:ascii="Times New Roman" w:eastAsia="Times New Roman" w:hAnsi="Times New Roman" w:cs="Times New Roman"/>
          <w:sz w:val="20"/>
          <w:szCs w:val="20"/>
          <w:lang w:bidi="en-GB"/>
        </w:rPr>
        <w:t>aggregated</w:t>
      </w:r>
      <w:r w:rsidR="00491FC7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</w:t>
      </w:r>
      <w:r w:rsidR="00D5363A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real-time measurements of active </w:t>
      </w:r>
      <w:r w:rsidR="008A2CDF">
        <w:rPr>
          <w:rFonts w:ascii="Times New Roman" w:eastAsia="Times New Roman" w:hAnsi="Times New Roman" w:cs="Times New Roman"/>
          <w:sz w:val="20"/>
          <w:szCs w:val="20"/>
          <w:lang w:bidi="en-GB"/>
        </w:rPr>
        <w:t>power</w:t>
      </w:r>
      <w:r w:rsidR="008A2CDF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</w:t>
      </w:r>
      <w:r w:rsidR="00D5363A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will be provided in the AST SCADA </w:t>
      </w:r>
      <w:proofErr w:type="gramStart"/>
      <w:r w:rsidR="00D5363A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system;</w:t>
      </w:r>
      <w:proofErr w:type="gramEnd"/>
      <w:r w:rsidR="00D5363A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</w:t>
      </w:r>
    </w:p>
    <w:p w14:paraId="21D9E1B9" w14:textId="202058EE" w:rsidR="00FE5CFE" w:rsidRPr="00C65030" w:rsidRDefault="00DB3DB3" w:rsidP="001F139E">
      <w:pPr>
        <w:pStyle w:val="ListParagraph"/>
        <w:ind w:left="1440" w:firstLine="720"/>
      </w:pP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42955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5030">
            <w:rPr>
              <w:rFonts w:ascii="MS Gothic" w:eastAsia="MS Gothic" w:hAnsi="MS Gothic" w:cs="Times New Roman"/>
              <w:sz w:val="20"/>
              <w:szCs w:val="20"/>
              <w:lang w:bidi="en-GB"/>
            </w:rPr>
            <w:t>☐</w:t>
          </w:r>
        </w:sdtContent>
      </w:sdt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control metering data will be sent using the web </w:t>
      </w:r>
      <w:proofErr w:type="gramStart"/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service;</w:t>
      </w:r>
      <w:proofErr w:type="gramEnd"/>
    </w:p>
    <w:p w14:paraId="13C6A8B3" w14:textId="02BFE31C" w:rsidR="00071650" w:rsidRPr="00C65030" w:rsidRDefault="00910834" w:rsidP="001F139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Power generating modules included in R</w:t>
      </w:r>
      <w:r w:rsidR="0041190A">
        <w:rPr>
          <w:rFonts w:ascii="Times New Roman" w:eastAsia="Times New Roman" w:hAnsi="Times New Roman" w:cs="Times New Roman"/>
          <w:sz w:val="20"/>
          <w:szCs w:val="20"/>
          <w:lang w:bidi="en-GB"/>
        </w:rPr>
        <w:t>e</w:t>
      </w: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U:</w:t>
      </w:r>
    </w:p>
    <w:tbl>
      <w:tblPr>
        <w:tblStyle w:val="TableGrid"/>
        <w:tblW w:w="8363" w:type="dxa"/>
        <w:tblInd w:w="279" w:type="dxa"/>
        <w:tblLook w:val="04A0" w:firstRow="1" w:lastRow="0" w:firstColumn="1" w:lastColumn="0" w:noHBand="0" w:noVBand="1"/>
      </w:tblPr>
      <w:tblGrid>
        <w:gridCol w:w="1210"/>
        <w:gridCol w:w="1205"/>
        <w:gridCol w:w="1288"/>
        <w:gridCol w:w="1250"/>
        <w:gridCol w:w="1256"/>
        <w:gridCol w:w="1022"/>
        <w:gridCol w:w="1132"/>
      </w:tblGrid>
      <w:tr w:rsidR="00D5363A" w:rsidRPr="00C65030" w14:paraId="7DFCE7BB" w14:textId="77777777" w:rsidTr="00211BDF">
        <w:trPr>
          <w:trHeight w:val="657"/>
        </w:trPr>
        <w:tc>
          <w:tcPr>
            <w:tcW w:w="1210" w:type="dxa"/>
            <w:vMerge w:val="restart"/>
          </w:tcPr>
          <w:p w14:paraId="4742A7D4" w14:textId="167865CB" w:rsidR="00D5363A" w:rsidRPr="00C65030" w:rsidRDefault="00D5363A" w:rsidP="00D53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030">
              <w:rPr>
                <w:rFonts w:ascii="Times New Roman" w:eastAsia="Times New Roman" w:hAnsi="Times New Roman" w:cs="Times New Roman"/>
                <w:sz w:val="18"/>
                <w:szCs w:val="18"/>
                <w:lang w:bidi="en-GB"/>
              </w:rPr>
              <w:t xml:space="preserve">Object </w:t>
            </w:r>
            <w:r w:rsidR="00B51E2E">
              <w:rPr>
                <w:rFonts w:ascii="Times New Roman" w:eastAsia="Times New Roman" w:hAnsi="Times New Roman" w:cs="Times New Roman"/>
                <w:sz w:val="18"/>
                <w:szCs w:val="18"/>
                <w:lang w:bidi="en-GB"/>
              </w:rPr>
              <w:t>EIC</w:t>
            </w:r>
            <w:r w:rsidRPr="00C65030">
              <w:rPr>
                <w:rFonts w:ascii="Times New Roman" w:eastAsia="Times New Roman" w:hAnsi="Times New Roman" w:cs="Times New Roman"/>
                <w:sz w:val="18"/>
                <w:szCs w:val="18"/>
                <w:lang w:bidi="en-GB"/>
              </w:rPr>
              <w:t xml:space="preserve"> assigned by the system operator</w:t>
            </w:r>
          </w:p>
        </w:tc>
        <w:tc>
          <w:tcPr>
            <w:tcW w:w="1205" w:type="dxa"/>
            <w:vMerge w:val="restart"/>
          </w:tcPr>
          <w:p w14:paraId="632D50D2" w14:textId="422466E0" w:rsidR="00D5363A" w:rsidRPr="00C65030" w:rsidRDefault="00D5363A" w:rsidP="00D53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030">
              <w:rPr>
                <w:rFonts w:ascii="Times New Roman" w:eastAsia="Times New Roman" w:hAnsi="Times New Roman" w:cs="Times New Roman"/>
                <w:sz w:val="18"/>
                <w:szCs w:val="18"/>
                <w:lang w:bidi="en-GB"/>
              </w:rPr>
              <w:t>The system operator, whose</w:t>
            </w:r>
            <w:r w:rsidR="00491FC7">
              <w:rPr>
                <w:rFonts w:ascii="Times New Roman" w:eastAsia="Times New Roman" w:hAnsi="Times New Roman" w:cs="Times New Roman"/>
                <w:sz w:val="18"/>
                <w:szCs w:val="18"/>
                <w:lang w:bidi="en-GB"/>
              </w:rPr>
              <w:t xml:space="preserve"> grid the</w:t>
            </w:r>
            <w:r w:rsidRPr="00C65030">
              <w:rPr>
                <w:rFonts w:ascii="Times New Roman" w:eastAsia="Times New Roman" w:hAnsi="Times New Roman" w:cs="Times New Roman"/>
                <w:sz w:val="18"/>
                <w:szCs w:val="18"/>
                <w:lang w:bidi="en-GB"/>
              </w:rPr>
              <w:t xml:space="preserve"> power generatin</w:t>
            </w:r>
            <w:r w:rsidR="00302A7B">
              <w:rPr>
                <w:rFonts w:ascii="Times New Roman" w:eastAsia="Times New Roman" w:hAnsi="Times New Roman" w:cs="Times New Roman"/>
                <w:sz w:val="18"/>
                <w:szCs w:val="18"/>
                <w:lang w:bidi="en-GB"/>
              </w:rPr>
              <w:t>g</w:t>
            </w:r>
            <w:r w:rsidRPr="00C65030">
              <w:rPr>
                <w:rFonts w:ascii="Times New Roman" w:eastAsia="Times New Roman" w:hAnsi="Times New Roman" w:cs="Times New Roman"/>
                <w:sz w:val="18"/>
                <w:szCs w:val="18"/>
                <w:lang w:bidi="en-GB"/>
              </w:rPr>
              <w:t xml:space="preserve"> module is connected to </w:t>
            </w:r>
          </w:p>
        </w:tc>
        <w:tc>
          <w:tcPr>
            <w:tcW w:w="1288" w:type="dxa"/>
            <w:vMerge w:val="restart"/>
          </w:tcPr>
          <w:p w14:paraId="1C4BC66C" w14:textId="098B6BE1" w:rsidR="00D5363A" w:rsidRPr="00C65030" w:rsidRDefault="00D5363A" w:rsidP="00D53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030">
              <w:rPr>
                <w:rFonts w:ascii="Times New Roman" w:eastAsia="Times New Roman" w:hAnsi="Times New Roman" w:cs="Times New Roman"/>
                <w:sz w:val="18"/>
                <w:szCs w:val="18"/>
                <w:lang w:bidi="en-GB"/>
              </w:rPr>
              <w:t xml:space="preserve">Power generating module </w:t>
            </w:r>
            <w:r w:rsidR="00B51E2E">
              <w:rPr>
                <w:rFonts w:ascii="Times New Roman" w:eastAsia="Times New Roman" w:hAnsi="Times New Roman" w:cs="Times New Roman"/>
                <w:sz w:val="18"/>
                <w:szCs w:val="18"/>
                <w:lang w:bidi="en-GB"/>
              </w:rPr>
              <w:t>EIC</w:t>
            </w:r>
            <w:r w:rsidRPr="00C65030">
              <w:rPr>
                <w:rFonts w:ascii="Times New Roman" w:eastAsia="Times New Roman" w:hAnsi="Times New Roman" w:cs="Times New Roman"/>
                <w:sz w:val="18"/>
                <w:szCs w:val="18"/>
                <w:lang w:bidi="en-GB"/>
              </w:rPr>
              <w:t xml:space="preserve"> assigned by the system operator</w:t>
            </w:r>
          </w:p>
        </w:tc>
        <w:tc>
          <w:tcPr>
            <w:tcW w:w="1250" w:type="dxa"/>
            <w:vMerge w:val="restart"/>
          </w:tcPr>
          <w:p w14:paraId="510071BF" w14:textId="7F6D39B5" w:rsidR="00D5363A" w:rsidRPr="00C65030" w:rsidRDefault="00D5363A" w:rsidP="00D53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030">
              <w:rPr>
                <w:rFonts w:ascii="Times New Roman" w:eastAsia="Times New Roman" w:hAnsi="Times New Roman" w:cs="Times New Roman"/>
                <w:sz w:val="18"/>
                <w:szCs w:val="18"/>
                <w:lang w:bidi="en-GB"/>
              </w:rPr>
              <w:t>Power generating technology</w:t>
            </w:r>
          </w:p>
        </w:tc>
        <w:tc>
          <w:tcPr>
            <w:tcW w:w="1256" w:type="dxa"/>
            <w:vMerge w:val="restart"/>
          </w:tcPr>
          <w:p w14:paraId="5C827C34" w14:textId="2DDECD95" w:rsidR="00D5363A" w:rsidRPr="00C65030" w:rsidRDefault="00FD1BBB" w:rsidP="00D53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GB"/>
              </w:rPr>
              <w:t>Maximum capacity</w:t>
            </w:r>
            <w:r w:rsidR="00690C47">
              <w:rPr>
                <w:rFonts w:ascii="Times New Roman" w:eastAsia="Times New Roman" w:hAnsi="Times New Roman" w:cs="Times New Roman"/>
                <w:sz w:val="18"/>
                <w:szCs w:val="18"/>
                <w:lang w:bidi="en-GB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GB"/>
              </w:rPr>
              <w:t xml:space="preserve">power </w:t>
            </w:r>
            <w:r w:rsidR="00D5363A" w:rsidRPr="00C65030">
              <w:rPr>
                <w:rFonts w:ascii="Times New Roman" w:eastAsia="Times New Roman" w:hAnsi="Times New Roman" w:cs="Times New Roman"/>
                <w:sz w:val="18"/>
                <w:szCs w:val="18"/>
                <w:lang w:bidi="en-GB"/>
              </w:rPr>
              <w:t>generati</w:t>
            </w:r>
            <w:r w:rsidR="00302A7B">
              <w:rPr>
                <w:rFonts w:ascii="Times New Roman" w:eastAsia="Times New Roman" w:hAnsi="Times New Roman" w:cs="Times New Roman"/>
                <w:sz w:val="18"/>
                <w:szCs w:val="18"/>
                <w:lang w:bidi="en-GB"/>
              </w:rPr>
              <w:t>ng</w:t>
            </w:r>
            <w:r w:rsidR="00D5363A" w:rsidRPr="00C65030">
              <w:rPr>
                <w:rFonts w:ascii="Times New Roman" w:eastAsia="Times New Roman" w:hAnsi="Times New Roman" w:cs="Times New Roman"/>
                <w:sz w:val="18"/>
                <w:szCs w:val="18"/>
                <w:lang w:bidi="en-GB"/>
              </w:rPr>
              <w:t xml:space="preserve"> module, MW</w:t>
            </w:r>
          </w:p>
        </w:tc>
        <w:tc>
          <w:tcPr>
            <w:tcW w:w="2154" w:type="dxa"/>
            <w:gridSpan w:val="2"/>
          </w:tcPr>
          <w:p w14:paraId="14E3B0A8" w14:textId="23C70B94" w:rsidR="00D5363A" w:rsidRPr="00C65030" w:rsidRDefault="00690C47" w:rsidP="00D53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GB"/>
              </w:rPr>
              <w:t>B</w:t>
            </w:r>
            <w:r w:rsidR="00D5363A" w:rsidRPr="00C65030">
              <w:rPr>
                <w:rFonts w:ascii="Times New Roman" w:eastAsia="Times New Roman" w:hAnsi="Times New Roman" w:cs="Times New Roman"/>
                <w:sz w:val="18"/>
                <w:szCs w:val="18"/>
                <w:lang w:bidi="en-GB"/>
              </w:rPr>
              <w:t xml:space="preserve">alancing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GB"/>
              </w:rPr>
              <w:t xml:space="preserve">power </w:t>
            </w:r>
            <w:r w:rsidR="00D5363A" w:rsidRPr="00C65030">
              <w:rPr>
                <w:rFonts w:ascii="Times New Roman" w:eastAsia="Times New Roman" w:hAnsi="Times New Roman" w:cs="Times New Roman"/>
                <w:sz w:val="18"/>
                <w:szCs w:val="18"/>
                <w:lang w:bidi="en-GB"/>
              </w:rPr>
              <w:t>of the power generati</w:t>
            </w:r>
            <w:r w:rsidR="00302A7B">
              <w:rPr>
                <w:rFonts w:ascii="Times New Roman" w:eastAsia="Times New Roman" w:hAnsi="Times New Roman" w:cs="Times New Roman"/>
                <w:sz w:val="18"/>
                <w:szCs w:val="18"/>
                <w:lang w:bidi="en-GB"/>
              </w:rPr>
              <w:t>ng</w:t>
            </w:r>
            <w:r w:rsidR="00D5363A" w:rsidRPr="00C65030">
              <w:rPr>
                <w:rFonts w:ascii="Times New Roman" w:eastAsia="Times New Roman" w:hAnsi="Times New Roman" w:cs="Times New Roman"/>
                <w:sz w:val="18"/>
                <w:szCs w:val="18"/>
                <w:lang w:bidi="en-GB"/>
              </w:rPr>
              <w:t xml:space="preserve"> module, MW</w:t>
            </w:r>
          </w:p>
        </w:tc>
      </w:tr>
      <w:tr w:rsidR="00302A7B" w:rsidRPr="00C65030" w14:paraId="7B76AFB0" w14:textId="77777777" w:rsidTr="00AE18E4">
        <w:trPr>
          <w:trHeight w:val="585"/>
        </w:trPr>
        <w:tc>
          <w:tcPr>
            <w:tcW w:w="1210" w:type="dxa"/>
            <w:vMerge/>
            <w:tcBorders>
              <w:bottom w:val="single" w:sz="4" w:space="0" w:color="auto"/>
            </w:tcBorders>
          </w:tcPr>
          <w:p w14:paraId="5A1BC973" w14:textId="77777777" w:rsidR="00D5363A" w:rsidRPr="00C65030" w:rsidRDefault="00D5363A" w:rsidP="00D53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14:paraId="770C31FE" w14:textId="77777777" w:rsidR="00D5363A" w:rsidRPr="00C65030" w:rsidRDefault="00D5363A" w:rsidP="00D53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</w:tcPr>
          <w:p w14:paraId="24094352" w14:textId="77777777" w:rsidR="00D5363A" w:rsidRPr="00C65030" w:rsidRDefault="00D5363A" w:rsidP="00D53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5B2A6487" w14:textId="2207E5D8" w:rsidR="00D5363A" w:rsidRPr="00C65030" w:rsidRDefault="00D5363A" w:rsidP="00D53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</w:tcPr>
          <w:p w14:paraId="29E6C8B9" w14:textId="19187AC4" w:rsidR="00D5363A" w:rsidRPr="00C65030" w:rsidRDefault="00D5363A" w:rsidP="00D53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14:paraId="6D7C25F0" w14:textId="2613F320" w:rsidR="00D5363A" w:rsidRPr="003F3813" w:rsidRDefault="00FD0D05" w:rsidP="00D53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13">
              <w:rPr>
                <w:rFonts w:ascii="Times New Roman" w:eastAsia="Times New Roman" w:hAnsi="Times New Roman" w:cs="Times New Roman"/>
                <w:sz w:val="18"/>
                <w:szCs w:val="18"/>
                <w:lang w:bidi="en-GB"/>
              </w:rPr>
              <w:t>Upward balancing</w:t>
            </w:r>
          </w:p>
          <w:p w14:paraId="4C1FAB24" w14:textId="77777777" w:rsidR="00D5363A" w:rsidRPr="003F3813" w:rsidRDefault="00D5363A" w:rsidP="00D53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15AF26F8" w14:textId="6662DB9A" w:rsidR="00D5363A" w:rsidRPr="003F3813" w:rsidRDefault="00FD0D05" w:rsidP="00D53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13">
              <w:rPr>
                <w:rFonts w:ascii="Times New Roman" w:eastAsia="Times New Roman" w:hAnsi="Times New Roman" w:cs="Times New Roman"/>
                <w:sz w:val="18"/>
                <w:szCs w:val="18"/>
                <w:lang w:bidi="en-GB"/>
              </w:rPr>
              <w:t>Downward balancing</w:t>
            </w:r>
          </w:p>
        </w:tc>
      </w:tr>
      <w:tr w:rsidR="00D5363A" w:rsidRPr="00C65030" w14:paraId="0FB97A5B" w14:textId="77777777" w:rsidTr="00211BDF">
        <w:trPr>
          <w:trHeight w:val="509"/>
        </w:trPr>
        <w:tc>
          <w:tcPr>
            <w:tcW w:w="1210" w:type="dxa"/>
          </w:tcPr>
          <w:p w14:paraId="6A52F4CE" w14:textId="77777777" w:rsidR="00D5363A" w:rsidRPr="00C65030" w:rsidRDefault="00D5363A" w:rsidP="00D5363A"/>
        </w:tc>
        <w:tc>
          <w:tcPr>
            <w:tcW w:w="1205" w:type="dxa"/>
          </w:tcPr>
          <w:p w14:paraId="0B86770E" w14:textId="77777777" w:rsidR="00D5363A" w:rsidRPr="00C65030" w:rsidRDefault="00D5363A" w:rsidP="00D5363A"/>
        </w:tc>
        <w:tc>
          <w:tcPr>
            <w:tcW w:w="1288" w:type="dxa"/>
          </w:tcPr>
          <w:p w14:paraId="4B74D856" w14:textId="77777777" w:rsidR="00D5363A" w:rsidRPr="00C65030" w:rsidRDefault="00D5363A" w:rsidP="00D5363A"/>
        </w:tc>
        <w:tc>
          <w:tcPr>
            <w:tcW w:w="1250" w:type="dxa"/>
          </w:tcPr>
          <w:p w14:paraId="5DB73BB5" w14:textId="12686EF1" w:rsidR="00D5363A" w:rsidRPr="00C65030" w:rsidRDefault="00D5363A" w:rsidP="00D5363A"/>
        </w:tc>
        <w:tc>
          <w:tcPr>
            <w:tcW w:w="1256" w:type="dxa"/>
          </w:tcPr>
          <w:p w14:paraId="4091FCFF" w14:textId="045F7925" w:rsidR="00D5363A" w:rsidRPr="00C65030" w:rsidRDefault="00D5363A" w:rsidP="00D5363A"/>
        </w:tc>
        <w:tc>
          <w:tcPr>
            <w:tcW w:w="1022" w:type="dxa"/>
          </w:tcPr>
          <w:p w14:paraId="3E06E65B" w14:textId="77777777" w:rsidR="00D5363A" w:rsidRPr="00C65030" w:rsidRDefault="00D5363A" w:rsidP="00D5363A"/>
        </w:tc>
        <w:tc>
          <w:tcPr>
            <w:tcW w:w="1132" w:type="dxa"/>
          </w:tcPr>
          <w:p w14:paraId="3BA3A338" w14:textId="295BB3A1" w:rsidR="00D5363A" w:rsidRPr="00C65030" w:rsidRDefault="00D5363A" w:rsidP="00D5363A"/>
        </w:tc>
      </w:tr>
      <w:tr w:rsidR="00D5363A" w:rsidRPr="00C65030" w14:paraId="369DFE10" w14:textId="77777777" w:rsidTr="00211BDF">
        <w:trPr>
          <w:trHeight w:val="509"/>
        </w:trPr>
        <w:tc>
          <w:tcPr>
            <w:tcW w:w="1210" w:type="dxa"/>
          </w:tcPr>
          <w:p w14:paraId="5997B4D2" w14:textId="77777777" w:rsidR="00D5363A" w:rsidRPr="00C65030" w:rsidRDefault="00D5363A" w:rsidP="00D5363A"/>
        </w:tc>
        <w:tc>
          <w:tcPr>
            <w:tcW w:w="1205" w:type="dxa"/>
          </w:tcPr>
          <w:p w14:paraId="2C00CC3C" w14:textId="77777777" w:rsidR="00D5363A" w:rsidRPr="00C65030" w:rsidRDefault="00D5363A" w:rsidP="00D5363A"/>
        </w:tc>
        <w:tc>
          <w:tcPr>
            <w:tcW w:w="1288" w:type="dxa"/>
          </w:tcPr>
          <w:p w14:paraId="6E37891C" w14:textId="77777777" w:rsidR="00D5363A" w:rsidRPr="00C65030" w:rsidRDefault="00D5363A" w:rsidP="00D5363A"/>
        </w:tc>
        <w:tc>
          <w:tcPr>
            <w:tcW w:w="1250" w:type="dxa"/>
          </w:tcPr>
          <w:p w14:paraId="4BF0D404" w14:textId="5C9C2B57" w:rsidR="00D5363A" w:rsidRPr="00C65030" w:rsidRDefault="00D5363A" w:rsidP="00D5363A"/>
        </w:tc>
        <w:tc>
          <w:tcPr>
            <w:tcW w:w="1256" w:type="dxa"/>
          </w:tcPr>
          <w:p w14:paraId="35A7DB83" w14:textId="597A8298" w:rsidR="00D5363A" w:rsidRPr="00C65030" w:rsidRDefault="00D5363A" w:rsidP="00D5363A"/>
        </w:tc>
        <w:tc>
          <w:tcPr>
            <w:tcW w:w="1022" w:type="dxa"/>
          </w:tcPr>
          <w:p w14:paraId="6B90B424" w14:textId="77777777" w:rsidR="00D5363A" w:rsidRPr="00C65030" w:rsidRDefault="00D5363A" w:rsidP="00D5363A"/>
        </w:tc>
        <w:tc>
          <w:tcPr>
            <w:tcW w:w="1132" w:type="dxa"/>
          </w:tcPr>
          <w:p w14:paraId="039CEF89" w14:textId="50B5DA9E" w:rsidR="00D5363A" w:rsidRPr="00C65030" w:rsidRDefault="00D5363A" w:rsidP="00D5363A"/>
        </w:tc>
      </w:tr>
    </w:tbl>
    <w:p w14:paraId="78BFB943" w14:textId="451EA5B0" w:rsidR="00E543A7" w:rsidRPr="00C65030" w:rsidRDefault="00E543A7" w:rsidP="006313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CEACFF" w14:textId="1A09899D" w:rsidR="00E543A7" w:rsidRPr="00C65030" w:rsidRDefault="00F074D3" w:rsidP="00ED078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019694758"/>
          <w:placeholder>
            <w:docPart w:val="182490130AC04232B76B331ACD3A4E7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6A1" w:rsidRPr="00C65030">
            <w:rPr>
              <w:rFonts w:ascii="MS Gothic" w:eastAsia="MS Gothic" w:hAnsi="MS Gothic" w:cs="Times New Roman"/>
              <w:sz w:val="20"/>
              <w:szCs w:val="20"/>
              <w:lang w:bidi="en-GB"/>
            </w:rPr>
            <w:t>☐</w:t>
          </w:r>
        </w:sdtContent>
      </w:sdt>
      <w:r w:rsidR="00D944E1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demand unit/aggregation of demand units (underline the appropriate</w:t>
      </w:r>
      <w:proofErr w:type="gramStart"/>
      <w:r w:rsidR="00D944E1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);</w:t>
      </w:r>
      <w:proofErr w:type="gramEnd"/>
    </w:p>
    <w:p w14:paraId="25852FC4" w14:textId="77777777" w:rsidR="00FE0B38" w:rsidRPr="00C65030" w:rsidRDefault="00FE0B38" w:rsidP="00FE0B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D9C03B" w14:textId="51597DB7" w:rsidR="000C616E" w:rsidRPr="00C65030" w:rsidRDefault="00336C34" w:rsidP="000B1A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Balancing product (check the appropriate one/s): </w:t>
      </w:r>
    </w:p>
    <w:p w14:paraId="7138B516" w14:textId="77777777" w:rsidR="00FE5CFE" w:rsidRPr="00C65030" w:rsidRDefault="00FE5CFE" w:rsidP="00B12D2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7F67606" w14:textId="2A908D09" w:rsidR="00336C34" w:rsidRPr="00C65030" w:rsidRDefault="00F074D3" w:rsidP="00336C3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72409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EFA" w:rsidRPr="00C65030">
            <w:rPr>
              <w:rFonts w:ascii="MS Gothic" w:eastAsia="MS Gothic" w:hAnsi="MS Gothic" w:cs="Times New Roman"/>
              <w:sz w:val="20"/>
              <w:szCs w:val="20"/>
              <w:lang w:bidi="en-GB"/>
            </w:rPr>
            <w:t>☐</w:t>
          </w:r>
        </w:sdtContent>
      </w:sdt>
      <w:r w:rsidR="002C7EFA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</w:t>
      </w:r>
      <w:r w:rsidR="005514C1">
        <w:rPr>
          <w:rFonts w:ascii="Times New Roman" w:eastAsia="Times New Roman" w:hAnsi="Times New Roman" w:cs="Times New Roman"/>
          <w:sz w:val="20"/>
          <w:szCs w:val="20"/>
          <w:lang w:bidi="en-GB"/>
        </w:rPr>
        <w:t>m</w:t>
      </w:r>
      <w:r w:rsidR="002C7EFA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anual frequency restoration reserve (mFRR) standard product (60 min.</w:t>
      </w:r>
      <w:proofErr w:type="gramStart"/>
      <w:r w:rsidR="002C7EFA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);</w:t>
      </w:r>
      <w:proofErr w:type="gramEnd"/>
    </w:p>
    <w:p w14:paraId="42476A84" w14:textId="77777777" w:rsidR="00FE5CFE" w:rsidRPr="00C65030" w:rsidRDefault="00FE5CFE" w:rsidP="00847119">
      <w:pPr>
        <w:pStyle w:val="ListParagraph"/>
        <w:spacing w:after="0" w:line="240" w:lineRule="auto"/>
        <w:ind w:left="792"/>
        <w:jc w:val="both"/>
        <w:rPr>
          <w:rFonts w:ascii="Times New Roman" w:hAnsi="Times New Roman" w:cs="Times New Roman"/>
          <w:sz w:val="20"/>
          <w:szCs w:val="20"/>
        </w:rPr>
      </w:pPr>
    </w:p>
    <w:p w14:paraId="63A7D6F7" w14:textId="2BCDB7B0" w:rsidR="002C7EFA" w:rsidRPr="00C65030" w:rsidRDefault="00F074D3" w:rsidP="00336C3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25477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EFA" w:rsidRPr="00C65030">
            <w:rPr>
              <w:rFonts w:ascii="MS Gothic" w:eastAsia="MS Gothic" w:hAnsi="MS Gothic" w:cs="Times New Roman"/>
              <w:sz w:val="20"/>
              <w:szCs w:val="20"/>
              <w:lang w:bidi="en-GB"/>
            </w:rPr>
            <w:t>☐</w:t>
          </w:r>
        </w:sdtContent>
      </w:sdt>
      <w:r w:rsidR="002C7EFA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mFRR standard product (15 min.).</w:t>
      </w:r>
    </w:p>
    <w:p w14:paraId="0E0C9FF3" w14:textId="77777777" w:rsidR="00FE5CFE" w:rsidRPr="00C65030" w:rsidRDefault="00FE5CFE" w:rsidP="00B12D24">
      <w:pPr>
        <w:pStyle w:val="ListParagraph"/>
        <w:spacing w:after="0" w:line="240" w:lineRule="auto"/>
        <w:ind w:left="792"/>
        <w:jc w:val="both"/>
        <w:rPr>
          <w:rFonts w:ascii="Times New Roman" w:hAnsi="Times New Roman" w:cs="Times New Roman"/>
          <w:sz w:val="20"/>
          <w:szCs w:val="20"/>
        </w:rPr>
      </w:pPr>
    </w:p>
    <w:p w14:paraId="171BFFA0" w14:textId="2D58A6A1" w:rsidR="000F4E5D" w:rsidRPr="00C65030" w:rsidRDefault="00FE0B38" w:rsidP="000B1A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Maximum bid </w:t>
      </w:r>
      <w:r w:rsidR="009F1149">
        <w:rPr>
          <w:rFonts w:ascii="Times New Roman" w:eastAsia="Times New Roman" w:hAnsi="Times New Roman" w:cs="Times New Roman"/>
          <w:sz w:val="20"/>
          <w:szCs w:val="20"/>
          <w:lang w:bidi="en-GB"/>
        </w:rPr>
        <w:t>capacity</w:t>
      </w:r>
      <w:r w:rsidR="009F1149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</w:t>
      </w: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according to the balancing product specification:</w:t>
      </w:r>
    </w:p>
    <w:p w14:paraId="10C38B6D" w14:textId="77777777" w:rsidR="00FE5CFE" w:rsidRPr="00C65030" w:rsidRDefault="00FE5CFE" w:rsidP="009932C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FC1D647" w14:textId="22C1762C" w:rsidR="00FE0B38" w:rsidRPr="00C65030" w:rsidRDefault="009F1149" w:rsidP="00903EC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bidi="en-GB"/>
        </w:rPr>
        <w:t>For upward balancing</w:t>
      </w:r>
      <w:r w:rsidR="00EC07B9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: ___________</w:t>
      </w:r>
      <w:r w:rsidR="00AC104D">
        <w:rPr>
          <w:rFonts w:ascii="Times New Roman" w:eastAsia="Times New Roman" w:hAnsi="Times New Roman" w:cs="Times New Roman"/>
          <w:sz w:val="20"/>
          <w:szCs w:val="20"/>
          <w:lang w:bidi="en-GB"/>
        </w:rPr>
        <w:t>__</w:t>
      </w:r>
      <w:proofErr w:type="gramStart"/>
      <w:r w:rsidR="00EC07B9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MW;</w:t>
      </w:r>
      <w:proofErr w:type="gramEnd"/>
      <w:r w:rsidR="00EC07B9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</w:t>
      </w:r>
    </w:p>
    <w:p w14:paraId="3E4A279B" w14:textId="77777777" w:rsidR="00FE0B38" w:rsidRPr="00C65030" w:rsidRDefault="00FE0B38" w:rsidP="00FE0B38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0DA194A7" w14:textId="7FDD8356" w:rsidR="00F46053" w:rsidRPr="00C65030" w:rsidRDefault="009F1149" w:rsidP="00903EC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bidi="en-GB"/>
        </w:rPr>
        <w:t>For downward balancing</w:t>
      </w:r>
      <w:r w:rsidR="00EC07B9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: _________</w:t>
      </w:r>
      <w:r w:rsidR="00AC104D">
        <w:rPr>
          <w:rFonts w:ascii="Times New Roman" w:eastAsia="Times New Roman" w:hAnsi="Times New Roman" w:cs="Times New Roman"/>
          <w:sz w:val="20"/>
          <w:szCs w:val="20"/>
          <w:lang w:bidi="en-GB"/>
        </w:rPr>
        <w:t>___</w:t>
      </w:r>
      <w:proofErr w:type="gramStart"/>
      <w:r w:rsidR="00EC07B9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MW;</w:t>
      </w:r>
      <w:proofErr w:type="gramEnd"/>
    </w:p>
    <w:p w14:paraId="21C79903" w14:textId="77777777" w:rsidR="00D245A1" w:rsidRPr="00C65030" w:rsidRDefault="00D245A1" w:rsidP="00D245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4E73F8" w14:textId="121717D3" w:rsidR="001F2A50" w:rsidRPr="00C24766" w:rsidRDefault="00D245A1" w:rsidP="00D245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GB"/>
        </w:rPr>
      </w:pP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Minimum activation </w:t>
      </w:r>
      <w:r w:rsidR="00B409A9">
        <w:rPr>
          <w:rFonts w:ascii="Times New Roman" w:eastAsia="Times New Roman" w:hAnsi="Times New Roman" w:cs="Times New Roman"/>
          <w:sz w:val="20"/>
          <w:szCs w:val="20"/>
          <w:lang w:bidi="en-GB"/>
        </w:rPr>
        <w:t>power</w:t>
      </w:r>
      <w:r w:rsidR="00B409A9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</w:t>
      </w: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for each operating </w:t>
      </w:r>
      <w:r w:rsidR="006731D1">
        <w:rPr>
          <w:rFonts w:ascii="Times New Roman" w:eastAsia="Times New Roman" w:hAnsi="Times New Roman" w:cs="Times New Roman"/>
          <w:sz w:val="20"/>
          <w:szCs w:val="20"/>
          <w:lang w:bidi="en-GB"/>
        </w:rPr>
        <w:t>status</w:t>
      </w:r>
      <w:r w:rsidR="006731D1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</w:t>
      </w: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(indivisible bids): </w:t>
      </w:r>
    </w:p>
    <w:p w14:paraId="022BD03C" w14:textId="3C3CF34C" w:rsidR="00D245A1" w:rsidRPr="00C65030" w:rsidRDefault="00D245A1" w:rsidP="00C2476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________________________________________________________________MW;</w:t>
      </w:r>
    </w:p>
    <w:p w14:paraId="4A247802" w14:textId="77777777" w:rsidR="00D245A1" w:rsidRPr="00C65030" w:rsidRDefault="00D245A1" w:rsidP="00D245A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88D7238" w14:textId="77777777" w:rsidR="001F2A50" w:rsidRPr="00C24766" w:rsidRDefault="00D245A1" w:rsidP="000902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Technical restrictions on the continuous provision of reserves (such as a restricted operation</w:t>
      </w:r>
      <w:r w:rsidRPr="00C65030">
        <w:rPr>
          <w:lang w:bidi="en-GB"/>
        </w:rPr>
        <w:t xml:space="preserve"> </w:t>
      </w: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area):</w:t>
      </w:r>
    </w:p>
    <w:p w14:paraId="24B96B9C" w14:textId="21C39DE7" w:rsidR="005A43DF" w:rsidRPr="00C65030" w:rsidRDefault="00D245A1" w:rsidP="00C2476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__________________________________________________________________________;</w:t>
      </w:r>
    </w:p>
    <w:p w14:paraId="6CCA1802" w14:textId="77777777" w:rsidR="003B7823" w:rsidRPr="00C65030" w:rsidRDefault="003B7823" w:rsidP="007D0E2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1747C1D" w14:textId="78930FB9" w:rsidR="003B7823" w:rsidRPr="00C65030" w:rsidRDefault="0041190A" w:rsidP="000902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bidi="en-GB"/>
        </w:rPr>
        <w:t>Additional</w:t>
      </w: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</w:t>
      </w:r>
      <w:r w:rsidR="00903EC7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information on R</w:t>
      </w:r>
      <w:r>
        <w:rPr>
          <w:rFonts w:ascii="Times New Roman" w:eastAsia="Times New Roman" w:hAnsi="Times New Roman" w:cs="Times New Roman"/>
          <w:sz w:val="20"/>
          <w:szCs w:val="20"/>
          <w:lang w:bidi="en-GB"/>
        </w:rPr>
        <w:t>e</w:t>
      </w:r>
      <w:r w:rsidR="00903EC7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U with Limited Energy Reservoir (LER):</w:t>
      </w:r>
    </w:p>
    <w:p w14:paraId="55721A99" w14:textId="77777777" w:rsidR="009A0D79" w:rsidRPr="00C65030" w:rsidRDefault="009A0D79" w:rsidP="009A0D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A5225F" w14:textId="6A2A29B2" w:rsidR="003B7823" w:rsidRPr="00C65030" w:rsidRDefault="003B7823" w:rsidP="003B782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Full capacity: __________________________________</w:t>
      </w:r>
      <w:r w:rsidR="009E798E">
        <w:rPr>
          <w:rFonts w:ascii="Times New Roman" w:eastAsia="Times New Roman" w:hAnsi="Times New Roman" w:cs="Times New Roman"/>
          <w:sz w:val="20"/>
          <w:szCs w:val="20"/>
          <w:lang w:bidi="en-GB"/>
        </w:rPr>
        <w:t>_</w:t>
      </w: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__________</w:t>
      </w: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ab/>
      </w:r>
      <w:proofErr w:type="gramStart"/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MWh;</w:t>
      </w:r>
      <w:proofErr w:type="gramEnd"/>
    </w:p>
    <w:p w14:paraId="760478F4" w14:textId="77777777" w:rsidR="009A0D79" w:rsidRPr="00C65030" w:rsidRDefault="009A0D79" w:rsidP="009A0D79">
      <w:pPr>
        <w:pStyle w:val="ListParagraph"/>
        <w:spacing w:after="0" w:line="240" w:lineRule="auto"/>
        <w:ind w:left="792"/>
        <w:jc w:val="both"/>
        <w:rPr>
          <w:rFonts w:ascii="Times New Roman" w:hAnsi="Times New Roman" w:cs="Times New Roman"/>
          <w:sz w:val="20"/>
          <w:szCs w:val="20"/>
        </w:rPr>
      </w:pPr>
    </w:p>
    <w:p w14:paraId="24C7418F" w14:textId="7451B998" w:rsidR="003B7823" w:rsidRPr="00C65030" w:rsidRDefault="003B7823" w:rsidP="003B782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Capacity intended for </w:t>
      </w:r>
      <w:r w:rsidR="00621B85">
        <w:rPr>
          <w:rFonts w:ascii="Times New Roman" w:eastAsia="Times New Roman" w:hAnsi="Times New Roman" w:cs="Times New Roman"/>
          <w:sz w:val="20"/>
          <w:szCs w:val="20"/>
          <w:lang w:bidi="en-GB"/>
        </w:rPr>
        <w:t>operation</w:t>
      </w: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: _____________________________________</w:t>
      </w: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ab/>
      </w:r>
      <w:proofErr w:type="gramStart"/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MWh;</w:t>
      </w:r>
      <w:proofErr w:type="gramEnd"/>
    </w:p>
    <w:p w14:paraId="557159C7" w14:textId="77777777" w:rsidR="009A0D79" w:rsidRPr="00C65030" w:rsidRDefault="009A0D79" w:rsidP="009A0D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328F7D" w14:textId="754C0516" w:rsidR="003B7823" w:rsidRPr="00C65030" w:rsidRDefault="003B7823" w:rsidP="003B782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Maximum permissible charging and discharging </w:t>
      </w:r>
      <w:r w:rsidR="006B61A7">
        <w:rPr>
          <w:rFonts w:ascii="Times New Roman" w:eastAsia="Times New Roman" w:hAnsi="Times New Roman" w:cs="Times New Roman"/>
          <w:sz w:val="20"/>
          <w:szCs w:val="20"/>
          <w:lang w:bidi="en-GB"/>
        </w:rPr>
        <w:t>power</w:t>
      </w: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: __________________</w:t>
      </w: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ab/>
      </w:r>
      <w:proofErr w:type="gramStart"/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MW;</w:t>
      </w:r>
      <w:proofErr w:type="gramEnd"/>
    </w:p>
    <w:p w14:paraId="6FFE12BA" w14:textId="77777777" w:rsidR="009A0D79" w:rsidRPr="00C65030" w:rsidRDefault="009A0D79" w:rsidP="009A0D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2041D9" w14:textId="4F1BD3BD" w:rsidR="003B7823" w:rsidRPr="00C65030" w:rsidRDefault="00FD6C7C" w:rsidP="009A0D7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Description of the R</w:t>
      </w:r>
      <w:r w:rsidR="00673D92">
        <w:rPr>
          <w:rFonts w:ascii="Times New Roman" w:eastAsia="Times New Roman" w:hAnsi="Times New Roman" w:cs="Times New Roman"/>
          <w:sz w:val="20"/>
          <w:szCs w:val="20"/>
          <w:lang w:bidi="en-GB"/>
        </w:rPr>
        <w:t>e</w:t>
      </w:r>
      <w:r w:rsidR="005D075D">
        <w:rPr>
          <w:rFonts w:ascii="Times New Roman" w:eastAsia="Times New Roman" w:hAnsi="Times New Roman" w:cs="Times New Roman"/>
          <w:sz w:val="20"/>
          <w:szCs w:val="20"/>
          <w:lang w:bidi="en-GB"/>
        </w:rPr>
        <w:t>U</w:t>
      </w: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energy reservoir maintenance strategy (including the energy source for maintaining the reservoir condition, the expected regularity of operation and the volumes of bids): ______________________________________________________________________________________________________________________________________________________________________________________________________________;</w:t>
      </w:r>
    </w:p>
    <w:p w14:paraId="0D134CD1" w14:textId="7E7C56AA" w:rsidR="005A43DF" w:rsidRPr="00C65030" w:rsidRDefault="005A43DF" w:rsidP="009A0D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15AAB4" w14:textId="77777777" w:rsidR="009A0D79" w:rsidRPr="00C65030" w:rsidRDefault="009A0D79" w:rsidP="009A0D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D0729C" w14:textId="7996CEA0" w:rsidR="00F46053" w:rsidRPr="00C65030" w:rsidRDefault="00F46053" w:rsidP="000B1A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System operator/s to whose networks the reserve unit is connected: __</w:t>
      </w:r>
      <w:r w:rsidR="00673D92">
        <w:rPr>
          <w:rFonts w:ascii="Times New Roman" w:eastAsia="Times New Roman" w:hAnsi="Times New Roman" w:cs="Times New Roman"/>
          <w:sz w:val="20"/>
          <w:szCs w:val="20"/>
          <w:lang w:bidi="en-GB"/>
        </w:rPr>
        <w:t>____</w:t>
      </w: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____________</w:t>
      </w:r>
      <w:proofErr w:type="gramStart"/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_;</w:t>
      </w:r>
      <w:proofErr w:type="gramEnd"/>
    </w:p>
    <w:p w14:paraId="263E4D94" w14:textId="77777777" w:rsidR="00FE0B38" w:rsidRPr="00C65030" w:rsidRDefault="00FE0B38" w:rsidP="00FE0B3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1B1F6CB" w14:textId="2981DB0B" w:rsidR="00045BFE" w:rsidRPr="00C65030" w:rsidRDefault="00F46053" w:rsidP="000B1A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System </w:t>
      </w:r>
      <w:r w:rsidR="00107C6F">
        <w:rPr>
          <w:rFonts w:ascii="Times New Roman" w:eastAsia="Times New Roman" w:hAnsi="Times New Roman" w:cs="Times New Roman"/>
          <w:sz w:val="20"/>
          <w:szCs w:val="20"/>
          <w:lang w:bidi="en-GB"/>
        </w:rPr>
        <w:t>use</w:t>
      </w:r>
      <w:r w:rsidR="00107C6F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</w:t>
      </w: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agreement date and number (</w:t>
      </w:r>
      <w:r w:rsidRPr="00C65030">
        <w:rPr>
          <w:rFonts w:ascii="Times New Roman" w:eastAsia="Times New Roman" w:hAnsi="Times New Roman" w:cs="Times New Roman"/>
          <w:i/>
          <w:sz w:val="20"/>
          <w:szCs w:val="20"/>
          <w:lang w:bidi="en-GB"/>
        </w:rPr>
        <w:t>if applicable</w:t>
      </w: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): __________________________.</w:t>
      </w:r>
    </w:p>
    <w:p w14:paraId="40E835C3" w14:textId="5A4DB756" w:rsidR="00E66CF1" w:rsidRPr="00C65030" w:rsidRDefault="00E66CF1" w:rsidP="00045B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7F32AF" w14:textId="4E31CC0E" w:rsidR="00045BFE" w:rsidRPr="00C65030" w:rsidRDefault="00045BFE" w:rsidP="0063131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7635B2C" w14:textId="44A629F6" w:rsidR="000B1AA4" w:rsidRPr="00C65030" w:rsidRDefault="00E75F9D" w:rsidP="000B1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5030">
        <w:rPr>
          <w:rFonts w:ascii="Times New Roman" w:eastAsia="Times New Roman" w:hAnsi="Times New Roman" w:cs="Times New Roman"/>
          <w:b/>
          <w:sz w:val="20"/>
          <w:szCs w:val="20"/>
          <w:lang w:bidi="en-GB"/>
        </w:rPr>
        <w:t>BSP</w:t>
      </w: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hereby certifies that:</w:t>
      </w:r>
    </w:p>
    <w:p w14:paraId="35A49D1B" w14:textId="77777777" w:rsidR="00487AA1" w:rsidRPr="00C65030" w:rsidRDefault="00487AA1" w:rsidP="000B1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EC138E" w14:textId="0D17DD44" w:rsidR="00F46053" w:rsidRPr="00C65030" w:rsidRDefault="00F46053" w:rsidP="000B1AA4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it has fulfilled Clause 2.2 of Annex 8 to the </w:t>
      </w:r>
      <w:r w:rsidRPr="003F3813">
        <w:rPr>
          <w:rFonts w:ascii="Times New Roman" w:eastAsia="Times New Roman" w:hAnsi="Times New Roman" w:cs="Times New Roman"/>
          <w:sz w:val="20"/>
          <w:szCs w:val="20"/>
          <w:lang w:bidi="en-GB"/>
        </w:rPr>
        <w:t>Network Code</w:t>
      </w: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– the use of R</w:t>
      </w:r>
      <w:r w:rsidR="00673D92">
        <w:rPr>
          <w:rFonts w:ascii="Times New Roman" w:eastAsia="Times New Roman" w:hAnsi="Times New Roman" w:cs="Times New Roman"/>
          <w:sz w:val="20"/>
          <w:szCs w:val="20"/>
          <w:lang w:bidi="en-GB"/>
        </w:rPr>
        <w:t>e</w:t>
      </w: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U </w:t>
      </w:r>
      <w:r w:rsidR="00673D92">
        <w:rPr>
          <w:rFonts w:ascii="Times New Roman" w:eastAsia="Times New Roman" w:hAnsi="Times New Roman" w:cs="Times New Roman"/>
          <w:sz w:val="20"/>
          <w:szCs w:val="20"/>
          <w:lang w:bidi="en-GB"/>
        </w:rPr>
        <w:t>for</w:t>
      </w: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the provision of the balancing service shall be approved by the balancing service provider of this R</w:t>
      </w:r>
      <w:r w:rsidR="007214DD">
        <w:rPr>
          <w:rFonts w:ascii="Times New Roman" w:eastAsia="Times New Roman" w:hAnsi="Times New Roman" w:cs="Times New Roman"/>
          <w:sz w:val="20"/>
          <w:szCs w:val="20"/>
          <w:lang w:bidi="en-GB"/>
        </w:rPr>
        <w:t>e</w:t>
      </w: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U: ________________, including, if applicable, the balancing service provider has authorised the inclusion of demand units pertaining to the R</w:t>
      </w:r>
      <w:r w:rsidR="007214DD">
        <w:rPr>
          <w:rFonts w:ascii="Times New Roman" w:eastAsia="Times New Roman" w:hAnsi="Times New Roman" w:cs="Times New Roman"/>
          <w:sz w:val="20"/>
          <w:szCs w:val="20"/>
          <w:lang w:bidi="en-GB"/>
        </w:rPr>
        <w:t>e</w:t>
      </w: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U in the aggregator’s portfolio;</w:t>
      </w:r>
    </w:p>
    <w:p w14:paraId="702C6905" w14:textId="6359478C" w:rsidR="00E75F9D" w:rsidRPr="00C65030" w:rsidRDefault="001D2022" w:rsidP="000B1AA4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The use of R</w:t>
      </w:r>
      <w:r w:rsidR="009E3D3F">
        <w:rPr>
          <w:rFonts w:ascii="Times New Roman" w:eastAsia="Times New Roman" w:hAnsi="Times New Roman" w:cs="Times New Roman"/>
          <w:sz w:val="20"/>
          <w:szCs w:val="20"/>
          <w:lang w:bidi="en-GB"/>
        </w:rPr>
        <w:t>e</w:t>
      </w: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U in the provision of balancing service </w:t>
      </w:r>
      <w:r w:rsidR="00A87D36">
        <w:rPr>
          <w:rFonts w:ascii="Times New Roman" w:eastAsia="Times New Roman" w:hAnsi="Times New Roman" w:cs="Times New Roman"/>
          <w:sz w:val="20"/>
          <w:szCs w:val="20"/>
          <w:lang w:bidi="en-GB"/>
        </w:rPr>
        <w:t>has been</w:t>
      </w: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coordinated with the owner/s of this R</w:t>
      </w:r>
      <w:r w:rsidR="009E3D3F">
        <w:rPr>
          <w:rFonts w:ascii="Times New Roman" w:eastAsia="Times New Roman" w:hAnsi="Times New Roman" w:cs="Times New Roman"/>
          <w:sz w:val="20"/>
          <w:szCs w:val="20"/>
          <w:lang w:bidi="en-GB"/>
        </w:rPr>
        <w:t>e</w:t>
      </w: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U and/or the power generating modules and/or demand units included in </w:t>
      </w:r>
      <w:proofErr w:type="gramStart"/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it;</w:t>
      </w:r>
      <w:proofErr w:type="gramEnd"/>
    </w:p>
    <w:p w14:paraId="27DB94B0" w14:textId="181BE446" w:rsidR="000E7CB8" w:rsidRPr="003F3813" w:rsidRDefault="00C2476B" w:rsidP="00631319">
      <w:pPr>
        <w:pStyle w:val="ListParagraph"/>
        <w:numPr>
          <w:ilvl w:val="0"/>
          <w:numId w:val="2"/>
        </w:numPr>
        <w:spacing w:before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F3813">
        <w:rPr>
          <w:rFonts w:ascii="Times New Roman" w:eastAsia="Times New Roman" w:hAnsi="Times New Roman" w:cs="Times New Roman"/>
          <w:b/>
          <w:sz w:val="20"/>
          <w:szCs w:val="20"/>
          <w:lang w:bidi="en-GB"/>
        </w:rPr>
        <w:t>BSP</w:t>
      </w:r>
      <w:r w:rsidRPr="003F3813">
        <w:rPr>
          <w:rFonts w:ascii="Times New Roman" w:eastAsia="Times New Roman" w:hAnsi="Times New Roman" w:cs="Times New Roman"/>
          <w:sz w:val="20"/>
          <w:szCs w:val="20"/>
          <w:lang w:bidi="en-GB"/>
        </w:rPr>
        <w:t>, if its R</w:t>
      </w:r>
      <w:r w:rsidR="009E3D3F" w:rsidRPr="003F3813">
        <w:rPr>
          <w:rFonts w:ascii="Times New Roman" w:eastAsia="Times New Roman" w:hAnsi="Times New Roman" w:cs="Times New Roman"/>
          <w:sz w:val="20"/>
          <w:szCs w:val="20"/>
          <w:lang w:bidi="en-GB"/>
        </w:rPr>
        <w:t>e</w:t>
      </w:r>
      <w:r w:rsidRPr="003F3813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U is a demand unit or an aggregation of demand units, </w:t>
      </w:r>
      <w:r w:rsidR="000532D8">
        <w:rPr>
          <w:rFonts w:ascii="Times New Roman" w:eastAsia="Times New Roman" w:hAnsi="Times New Roman" w:cs="Times New Roman"/>
          <w:sz w:val="20"/>
          <w:szCs w:val="20"/>
          <w:lang w:bidi="en-GB"/>
        </w:rPr>
        <w:t>has</w:t>
      </w:r>
      <w:r w:rsidRPr="003F3813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a valid contract/s for the demand response of the relevant object, if it has to be concluded in accordance with the requirements of the current </w:t>
      </w:r>
      <w:r w:rsidR="00AB68D9" w:rsidRPr="003F3813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legal </w:t>
      </w:r>
      <w:proofErr w:type="gramStart"/>
      <w:r w:rsidRPr="003F3813">
        <w:rPr>
          <w:rFonts w:ascii="Times New Roman" w:eastAsia="Times New Roman" w:hAnsi="Times New Roman" w:cs="Times New Roman"/>
          <w:sz w:val="20"/>
          <w:szCs w:val="20"/>
          <w:lang w:bidi="en-GB"/>
        </w:rPr>
        <w:t>acts;</w:t>
      </w:r>
      <w:proofErr w:type="gramEnd"/>
    </w:p>
    <w:p w14:paraId="72AAC2A6" w14:textId="35AC95B5" w:rsidR="00F46053" w:rsidRPr="00C65030" w:rsidRDefault="00FE14E8" w:rsidP="00EC07B9">
      <w:pPr>
        <w:pStyle w:val="ListParagraph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83983252"/>
      <w:r w:rsidRPr="00C65030">
        <w:rPr>
          <w:rFonts w:ascii="Times New Roman" w:eastAsia="Times New Roman" w:hAnsi="Times New Roman" w:cs="Times New Roman"/>
          <w:b/>
          <w:sz w:val="20"/>
          <w:szCs w:val="20"/>
          <w:lang w:bidi="en-GB"/>
        </w:rPr>
        <w:t>AST</w:t>
      </w: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</w:t>
      </w:r>
      <w:r w:rsidR="003B7E7C">
        <w:rPr>
          <w:rFonts w:ascii="Times New Roman" w:eastAsia="Times New Roman" w:hAnsi="Times New Roman" w:cs="Times New Roman"/>
          <w:sz w:val="20"/>
          <w:szCs w:val="20"/>
          <w:lang w:bidi="en-GB"/>
        </w:rPr>
        <w:t>is</w:t>
      </w: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entitled to obtain information about R</w:t>
      </w:r>
      <w:r w:rsidR="00AB68D9">
        <w:rPr>
          <w:rFonts w:ascii="Times New Roman" w:eastAsia="Times New Roman" w:hAnsi="Times New Roman" w:cs="Times New Roman"/>
          <w:sz w:val="20"/>
          <w:szCs w:val="20"/>
          <w:lang w:bidi="en-GB"/>
        </w:rPr>
        <w:t>e</w:t>
      </w: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U from the distribution system operator to whose networks R</w:t>
      </w:r>
      <w:r w:rsidR="00AB68D9">
        <w:rPr>
          <w:rFonts w:ascii="Times New Roman" w:eastAsia="Times New Roman" w:hAnsi="Times New Roman" w:cs="Times New Roman"/>
          <w:sz w:val="20"/>
          <w:szCs w:val="20"/>
          <w:lang w:bidi="en-GB"/>
        </w:rPr>
        <w:t>e</w:t>
      </w: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U is connected, including, but not limited to, information about R</w:t>
      </w:r>
      <w:r w:rsidR="00AB68D9">
        <w:rPr>
          <w:rFonts w:ascii="Times New Roman" w:eastAsia="Times New Roman" w:hAnsi="Times New Roman" w:cs="Times New Roman"/>
          <w:sz w:val="20"/>
          <w:szCs w:val="20"/>
          <w:lang w:bidi="en-GB"/>
        </w:rPr>
        <w:t>e</w:t>
      </w: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U connection, commercial metering data, </w:t>
      </w:r>
      <w:r w:rsidR="00580C15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balance responsible </w:t>
      </w:r>
      <w:proofErr w:type="gramStart"/>
      <w:r w:rsidR="00580C15">
        <w:rPr>
          <w:rFonts w:ascii="Times New Roman" w:eastAsia="Times New Roman" w:hAnsi="Times New Roman" w:cs="Times New Roman"/>
          <w:sz w:val="20"/>
          <w:szCs w:val="20"/>
          <w:lang w:bidi="en-GB"/>
        </w:rPr>
        <w:t>party</w:t>
      </w: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;</w:t>
      </w:r>
      <w:proofErr w:type="gramEnd"/>
    </w:p>
    <w:bookmarkEnd w:id="1"/>
    <w:p w14:paraId="425A511A" w14:textId="06A0DDDE" w:rsidR="0002478A" w:rsidRPr="00C65030" w:rsidRDefault="0002478A" w:rsidP="00EC07B9">
      <w:pPr>
        <w:pStyle w:val="ListParagraph"/>
        <w:spacing w:before="120" w:line="240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14:paraId="05E665F6" w14:textId="525B19DB" w:rsidR="008C06A1" w:rsidRPr="00C65030" w:rsidRDefault="001D2022">
      <w:pPr>
        <w:pStyle w:val="ListParagraph"/>
        <w:numPr>
          <w:ilvl w:val="0"/>
          <w:numId w:val="2"/>
        </w:numPr>
        <w:spacing w:before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The R</w:t>
      </w:r>
      <w:r w:rsidR="00612EE7">
        <w:rPr>
          <w:rFonts w:ascii="Times New Roman" w:eastAsia="Times New Roman" w:hAnsi="Times New Roman" w:cs="Times New Roman"/>
          <w:sz w:val="20"/>
          <w:szCs w:val="20"/>
          <w:lang w:bidi="en-GB"/>
        </w:rPr>
        <w:t>e</w:t>
      </w: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U is prepared in accordance with the requirements referred to in the </w:t>
      </w:r>
      <w:r w:rsidRPr="00C65030">
        <w:rPr>
          <w:rFonts w:ascii="Times New Roman" w:eastAsia="Times New Roman" w:hAnsi="Times New Roman" w:cs="Times New Roman"/>
          <w:b/>
          <w:sz w:val="20"/>
          <w:szCs w:val="20"/>
          <w:lang w:bidi="en-GB"/>
        </w:rPr>
        <w:t>AST</w:t>
      </w: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procedure “Technical and data exchange requirements for reserve units” and it is possible to check the compliance of the </w:t>
      </w:r>
      <w:proofErr w:type="gramStart"/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R</w:t>
      </w:r>
      <w:r w:rsidR="00612EE7">
        <w:rPr>
          <w:rFonts w:ascii="Times New Roman" w:eastAsia="Times New Roman" w:hAnsi="Times New Roman" w:cs="Times New Roman"/>
          <w:sz w:val="20"/>
          <w:szCs w:val="20"/>
          <w:lang w:bidi="en-GB"/>
        </w:rPr>
        <w:t>e</w:t>
      </w: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U;</w:t>
      </w:r>
      <w:proofErr w:type="gramEnd"/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</w:t>
      </w:r>
    </w:p>
    <w:p w14:paraId="5A6729EC" w14:textId="5635E206" w:rsidR="008C06A1" w:rsidRPr="00C65030" w:rsidRDefault="008C06A1" w:rsidP="008C06A1">
      <w:pPr>
        <w:pStyle w:val="ListParagraph"/>
        <w:numPr>
          <w:ilvl w:val="0"/>
          <w:numId w:val="2"/>
        </w:numPr>
        <w:spacing w:before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According to the </w:t>
      </w:r>
      <w:r w:rsidRPr="00C65030">
        <w:rPr>
          <w:rFonts w:ascii="Times New Roman" w:eastAsia="Times New Roman" w:hAnsi="Times New Roman" w:cs="Times New Roman"/>
          <w:b/>
          <w:sz w:val="20"/>
          <w:szCs w:val="20"/>
          <w:lang w:bidi="en-GB"/>
        </w:rPr>
        <w:t>AST</w:t>
      </w: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procedure “Technical and data exchange requirements for reserve units”, data exchange will be </w:t>
      </w:r>
      <w:r w:rsidR="00CE05A8">
        <w:rPr>
          <w:rFonts w:ascii="Times New Roman" w:eastAsia="Times New Roman" w:hAnsi="Times New Roman" w:cs="Times New Roman"/>
          <w:sz w:val="20"/>
          <w:szCs w:val="20"/>
          <w:lang w:bidi="en-GB"/>
        </w:rPr>
        <w:t>done</w:t>
      </w:r>
      <w:r w:rsidR="00CE05A8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</w:t>
      </w: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using one of the following methods (</w:t>
      </w:r>
      <w:r w:rsidRPr="00C65030">
        <w:rPr>
          <w:rFonts w:ascii="Times New Roman" w:eastAsia="Times New Roman" w:hAnsi="Times New Roman" w:cs="Times New Roman"/>
          <w:i/>
          <w:sz w:val="20"/>
          <w:szCs w:val="20"/>
          <w:lang w:bidi="en-GB"/>
        </w:rPr>
        <w:t>check the appropriate</w:t>
      </w: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): </w:t>
      </w:r>
    </w:p>
    <w:p w14:paraId="67DA4C51" w14:textId="058BA255" w:rsidR="008C06A1" w:rsidRPr="00C65030" w:rsidRDefault="00F074D3">
      <w:pPr>
        <w:pStyle w:val="ListParagraph"/>
        <w:spacing w:before="120" w:line="240" w:lineRule="auto"/>
        <w:ind w:left="71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6979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6A1" w:rsidRPr="00C65030">
            <w:rPr>
              <w:rFonts w:ascii="MS Gothic" w:eastAsia="MS Gothic" w:hAnsi="MS Gothic" w:cs="Times New Roman"/>
              <w:sz w:val="20"/>
              <w:szCs w:val="20"/>
              <w:lang w:bidi="en-GB"/>
            </w:rPr>
            <w:t>☐</w:t>
          </w:r>
        </w:sdtContent>
      </w:sdt>
      <w:r w:rsidR="008C06A1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web service, </w:t>
      </w:r>
      <w:sdt>
        <w:sdtPr>
          <w:rPr>
            <w:rFonts w:ascii="Times New Roman" w:hAnsi="Times New Roman" w:cs="Times New Roman"/>
            <w:sz w:val="20"/>
            <w:szCs w:val="20"/>
          </w:rPr>
          <w:id w:val="-1145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6A1" w:rsidRPr="00C65030">
            <w:rPr>
              <w:rFonts w:ascii="MS Gothic" w:eastAsia="MS Gothic" w:hAnsi="MS Gothic" w:cs="Times New Roman"/>
              <w:sz w:val="20"/>
              <w:szCs w:val="20"/>
              <w:lang w:bidi="en-GB"/>
            </w:rPr>
            <w:t>☐</w:t>
          </w:r>
        </w:sdtContent>
      </w:sdt>
      <w:r w:rsidR="008C06A1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e-mail </w:t>
      </w:r>
      <w:proofErr w:type="gramStart"/>
      <w:r w:rsidR="008C06A1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messages;</w:t>
      </w:r>
      <w:proofErr w:type="gramEnd"/>
    </w:p>
    <w:p w14:paraId="205131B6" w14:textId="344E3E12" w:rsidR="00ED561A" w:rsidRPr="00C65030" w:rsidRDefault="00ED561A" w:rsidP="00FE14E8">
      <w:pPr>
        <w:pStyle w:val="ListParagraph"/>
        <w:numPr>
          <w:ilvl w:val="0"/>
          <w:numId w:val="2"/>
        </w:numPr>
        <w:spacing w:before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030">
        <w:rPr>
          <w:rFonts w:ascii="Times New Roman" w:eastAsia="Times New Roman" w:hAnsi="Times New Roman" w:cs="Times New Roman"/>
          <w:b/>
          <w:sz w:val="20"/>
          <w:szCs w:val="20"/>
          <w:lang w:bidi="en-GB"/>
        </w:rPr>
        <w:t>BSP</w:t>
      </w: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</w:t>
      </w:r>
      <w:r w:rsidR="00CE05A8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ha</w:t>
      </w:r>
      <w:r w:rsidR="00CE05A8">
        <w:rPr>
          <w:rFonts w:ascii="Times New Roman" w:eastAsia="Times New Roman" w:hAnsi="Times New Roman" w:cs="Times New Roman"/>
          <w:sz w:val="20"/>
          <w:szCs w:val="20"/>
          <w:lang w:bidi="en-GB"/>
        </w:rPr>
        <w:t>s</w:t>
      </w:r>
      <w:r w:rsidR="00CE05A8"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</w:t>
      </w: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a valid system use agreement with the system operator(s) to whose network(s) </w:t>
      </w:r>
      <w:r w:rsidRPr="003F3813">
        <w:rPr>
          <w:rFonts w:ascii="Times New Roman" w:eastAsia="Times New Roman" w:hAnsi="Times New Roman" w:cs="Times New Roman"/>
          <w:sz w:val="20"/>
          <w:szCs w:val="20"/>
          <w:lang w:bidi="en-GB"/>
        </w:rPr>
        <w:t>R</w:t>
      </w:r>
      <w:r w:rsidR="00096196" w:rsidRPr="003F3813">
        <w:rPr>
          <w:rFonts w:ascii="Times New Roman" w:eastAsia="Times New Roman" w:hAnsi="Times New Roman" w:cs="Times New Roman"/>
          <w:sz w:val="20"/>
          <w:szCs w:val="20"/>
          <w:lang w:bidi="en-GB"/>
        </w:rPr>
        <w:t>e</w:t>
      </w:r>
      <w:r w:rsidRPr="003F3813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U is connected, if such is required in accordance with the requirements of current </w:t>
      </w:r>
      <w:r w:rsidR="00096196" w:rsidRPr="003F3813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legal </w:t>
      </w:r>
      <w:proofErr w:type="gramStart"/>
      <w:r w:rsidRPr="003F3813">
        <w:rPr>
          <w:rFonts w:ascii="Times New Roman" w:eastAsia="Times New Roman" w:hAnsi="Times New Roman" w:cs="Times New Roman"/>
          <w:sz w:val="20"/>
          <w:szCs w:val="20"/>
          <w:lang w:bidi="en-GB"/>
        </w:rPr>
        <w:t>acts;</w:t>
      </w:r>
      <w:proofErr w:type="gramEnd"/>
    </w:p>
    <w:p w14:paraId="36B75166" w14:textId="6436A499" w:rsidR="006F0D77" w:rsidRPr="00C65030" w:rsidRDefault="00FE14E8" w:rsidP="00D572B8">
      <w:pPr>
        <w:pStyle w:val="ListParagraph"/>
        <w:numPr>
          <w:ilvl w:val="0"/>
          <w:numId w:val="2"/>
        </w:numPr>
        <w:spacing w:before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5030">
        <w:rPr>
          <w:rFonts w:ascii="Times New Roman" w:eastAsia="Times New Roman" w:hAnsi="Times New Roman" w:cs="Times New Roman"/>
          <w:b/>
          <w:sz w:val="20"/>
          <w:szCs w:val="20"/>
          <w:lang w:bidi="en-GB"/>
        </w:rPr>
        <w:lastRenderedPageBreak/>
        <w:t>AST</w:t>
      </w: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is entitled to obtain information to verify the truth of the information provided in this </w:t>
      </w:r>
      <w:proofErr w:type="gramStart"/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application;</w:t>
      </w:r>
      <w:proofErr w:type="gramEnd"/>
    </w:p>
    <w:p w14:paraId="1BFA57BD" w14:textId="38B00557" w:rsidR="00A4390F" w:rsidRPr="00C65030" w:rsidRDefault="006F0D77" w:rsidP="00D572B8">
      <w:pPr>
        <w:pStyle w:val="ListParagraph"/>
        <w:numPr>
          <w:ilvl w:val="0"/>
          <w:numId w:val="2"/>
        </w:numPr>
        <w:spacing w:before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undertakes to prepare and coordinate with the </w:t>
      </w:r>
      <w:r w:rsidRPr="00C65030">
        <w:rPr>
          <w:rFonts w:ascii="Times New Roman" w:eastAsia="Times New Roman" w:hAnsi="Times New Roman" w:cs="Times New Roman"/>
          <w:b/>
          <w:sz w:val="20"/>
          <w:szCs w:val="20"/>
          <w:lang w:bidi="en-GB"/>
        </w:rPr>
        <w:t>AST</w:t>
      </w: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R</w:t>
      </w:r>
      <w:r w:rsidR="00096196">
        <w:rPr>
          <w:rFonts w:ascii="Times New Roman" w:eastAsia="Times New Roman" w:hAnsi="Times New Roman" w:cs="Times New Roman"/>
          <w:sz w:val="20"/>
          <w:szCs w:val="20"/>
          <w:lang w:bidi="en-GB"/>
        </w:rPr>
        <w:t>e</w:t>
      </w: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U inspection plan in accordance with the </w:t>
      </w:r>
      <w:r w:rsidRPr="00C65030">
        <w:rPr>
          <w:rFonts w:ascii="Times New Roman" w:eastAsia="Times New Roman" w:hAnsi="Times New Roman" w:cs="Times New Roman"/>
          <w:b/>
          <w:sz w:val="20"/>
          <w:szCs w:val="20"/>
          <w:lang w:bidi="en-GB"/>
        </w:rPr>
        <w:t>AST</w:t>
      </w: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procedure “Technical and data exchange requirements for reserve providing units” within 30 days.</w:t>
      </w:r>
    </w:p>
    <w:p w14:paraId="6D3D96B7" w14:textId="77777777" w:rsidR="0031180A" w:rsidRPr="00C65030" w:rsidRDefault="0031180A" w:rsidP="00C044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815A4" w14:textId="3D961D35" w:rsidR="007E1FE0" w:rsidRPr="00C65030" w:rsidRDefault="002A3DB9" w:rsidP="007E1FE0">
      <w:pPr>
        <w:spacing w:after="0" w:line="240" w:lineRule="auto"/>
        <w:ind w:left="4320" w:hanging="3960"/>
        <w:jc w:val="both"/>
        <w:rPr>
          <w:rFonts w:ascii="Times New Roman" w:hAnsi="Times New Roman" w:cs="Times New Roman"/>
          <w:sz w:val="20"/>
          <w:szCs w:val="20"/>
        </w:rPr>
      </w:pP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>Date: _________________________</w:t>
      </w:r>
      <w:r w:rsid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    </w:t>
      </w:r>
      <w:r w:rsidRPr="00C65030">
        <w:rPr>
          <w:rFonts w:ascii="Times New Roman" w:eastAsia="Times New Roman" w:hAnsi="Times New Roman" w:cs="Times New Roman"/>
          <w:sz w:val="20"/>
          <w:szCs w:val="20"/>
          <w:lang w:bidi="en-GB"/>
        </w:rPr>
        <w:tab/>
        <w:t>___________________/___________________/</w:t>
      </w:r>
    </w:p>
    <w:p w14:paraId="0109B30D" w14:textId="7D279F0E" w:rsidR="00443688" w:rsidRPr="00C65030" w:rsidRDefault="00C65030" w:rsidP="00F74D2A">
      <w:pPr>
        <w:spacing w:after="0" w:line="240" w:lineRule="auto"/>
        <w:ind w:left="4320" w:hanging="39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                                          </w:t>
      </w:r>
      <w:r w:rsidR="003776C4">
        <w:rPr>
          <w:rFonts w:ascii="Times New Roman" w:eastAsia="Times New Roman" w:hAnsi="Times New Roman" w:cs="Times New Roman"/>
          <w:sz w:val="20"/>
          <w:szCs w:val="20"/>
          <w:lang w:bidi="en-GB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bidi="en-GB"/>
        </w:rPr>
        <w:t xml:space="preserve">  </w:t>
      </w:r>
      <w:r w:rsidR="007E1FE0" w:rsidRPr="00C65030">
        <w:rPr>
          <w:rFonts w:ascii="Times New Roman" w:eastAsia="Times New Roman" w:hAnsi="Times New Roman" w:cs="Times New Roman"/>
          <w:sz w:val="20"/>
          <w:szCs w:val="20"/>
          <w:vertAlign w:val="superscript"/>
          <w:lang w:bidi="en-GB"/>
        </w:rPr>
        <w:t xml:space="preserve"> Signature </w:t>
      </w:r>
      <w:r w:rsidR="007E1FE0" w:rsidRPr="00C65030">
        <w:rPr>
          <w:rFonts w:ascii="Times New Roman" w:eastAsia="Times New Roman" w:hAnsi="Times New Roman" w:cs="Times New Roman"/>
          <w:sz w:val="20"/>
          <w:szCs w:val="20"/>
          <w:vertAlign w:val="superscript"/>
          <w:lang w:bidi="en-GB"/>
        </w:rPr>
        <w:tab/>
      </w:r>
      <w:r w:rsidR="007E1FE0" w:rsidRPr="00C65030">
        <w:rPr>
          <w:rFonts w:ascii="Times New Roman" w:eastAsia="Times New Roman" w:hAnsi="Times New Roman" w:cs="Times New Roman"/>
          <w:sz w:val="20"/>
          <w:szCs w:val="20"/>
          <w:vertAlign w:val="superscript"/>
          <w:lang w:bidi="en-GB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bidi="en-GB"/>
        </w:rPr>
        <w:t xml:space="preserve">    </w:t>
      </w:r>
      <w:r w:rsidR="00850DA5">
        <w:rPr>
          <w:rFonts w:ascii="Times New Roman" w:eastAsia="Times New Roman" w:hAnsi="Times New Roman" w:cs="Times New Roman"/>
          <w:sz w:val="20"/>
          <w:szCs w:val="20"/>
          <w:vertAlign w:val="superscript"/>
          <w:lang w:bidi="en-GB"/>
        </w:rPr>
        <w:t>P</w:t>
      </w:r>
      <w:r w:rsidR="00850DA5" w:rsidRPr="00850DA5">
        <w:rPr>
          <w:rFonts w:ascii="Times New Roman" w:eastAsia="Times New Roman" w:hAnsi="Times New Roman" w:cs="Times New Roman"/>
          <w:sz w:val="20"/>
          <w:szCs w:val="20"/>
          <w:vertAlign w:val="superscript"/>
          <w:lang w:bidi="en-GB"/>
        </w:rPr>
        <w:t>rinted name</w:t>
      </w:r>
    </w:p>
    <w:p w14:paraId="749C022D" w14:textId="200C637F" w:rsidR="004450F1" w:rsidRPr="00C65030" w:rsidRDefault="004450F1" w:rsidP="00F74D2A">
      <w:pPr>
        <w:spacing w:after="0" w:line="240" w:lineRule="auto"/>
        <w:ind w:left="4320" w:hanging="39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1651CF63" w14:textId="740DDC36" w:rsidR="004450F1" w:rsidRPr="00C65030" w:rsidRDefault="004450F1" w:rsidP="004450F1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65030">
        <w:rPr>
          <w:rFonts w:ascii="Times New Roman" w:eastAsia="Times New Roman" w:hAnsi="Times New Roman" w:cs="Times New Roman"/>
          <w:sz w:val="20"/>
          <w:szCs w:val="20"/>
          <w:highlight w:val="yellow"/>
          <w:lang w:bidi="en-GB"/>
        </w:rPr>
        <w:t xml:space="preserve">If the document is signed with an electronic signature, the name and surname of the signatory and the date of </w:t>
      </w:r>
      <w:r w:rsidR="007F17EB">
        <w:rPr>
          <w:rFonts w:ascii="Times New Roman" w:eastAsia="Times New Roman" w:hAnsi="Times New Roman" w:cs="Times New Roman"/>
          <w:sz w:val="20"/>
          <w:szCs w:val="20"/>
          <w:highlight w:val="yellow"/>
          <w:lang w:bidi="en-GB"/>
        </w:rPr>
        <w:t>this application</w:t>
      </w:r>
      <w:r w:rsidRPr="00211BDF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bidi="en-GB"/>
        </w:rPr>
        <w:t xml:space="preserve"> </w:t>
      </w:r>
      <w:r w:rsidRPr="00C65030">
        <w:rPr>
          <w:rFonts w:ascii="Times New Roman" w:eastAsia="Times New Roman" w:hAnsi="Times New Roman" w:cs="Times New Roman"/>
          <w:sz w:val="20"/>
          <w:szCs w:val="20"/>
          <w:highlight w:val="yellow"/>
          <w:lang w:bidi="en-GB"/>
        </w:rPr>
        <w:t>are indicated in the electronic signature.</w:t>
      </w:r>
    </w:p>
    <w:sectPr w:rsidR="004450F1" w:rsidRPr="00C65030" w:rsidSect="00EC07B9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26C44" w14:textId="77777777" w:rsidR="0050162A" w:rsidRDefault="0050162A" w:rsidP="00834276">
      <w:pPr>
        <w:spacing w:after="0" w:line="240" w:lineRule="auto"/>
      </w:pPr>
      <w:r>
        <w:separator/>
      </w:r>
    </w:p>
  </w:endnote>
  <w:endnote w:type="continuationSeparator" w:id="0">
    <w:p w14:paraId="7B73C031" w14:textId="77777777" w:rsidR="0050162A" w:rsidRDefault="0050162A" w:rsidP="00834276">
      <w:pPr>
        <w:spacing w:after="0" w:line="240" w:lineRule="auto"/>
      </w:pPr>
      <w:r>
        <w:continuationSeparator/>
      </w:r>
    </w:p>
  </w:endnote>
  <w:endnote w:type="continuationNotice" w:id="1">
    <w:p w14:paraId="19031176" w14:textId="77777777" w:rsidR="0050162A" w:rsidRDefault="005016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08CE8" w14:textId="77777777" w:rsidR="0050162A" w:rsidRDefault="0050162A" w:rsidP="00834276">
      <w:pPr>
        <w:spacing w:after="0" w:line="240" w:lineRule="auto"/>
      </w:pPr>
      <w:r>
        <w:separator/>
      </w:r>
    </w:p>
  </w:footnote>
  <w:footnote w:type="continuationSeparator" w:id="0">
    <w:p w14:paraId="61702257" w14:textId="77777777" w:rsidR="0050162A" w:rsidRDefault="0050162A" w:rsidP="00834276">
      <w:pPr>
        <w:spacing w:after="0" w:line="240" w:lineRule="auto"/>
      </w:pPr>
      <w:r>
        <w:continuationSeparator/>
      </w:r>
    </w:p>
  </w:footnote>
  <w:footnote w:type="continuationNotice" w:id="1">
    <w:p w14:paraId="76C308E6" w14:textId="77777777" w:rsidR="0050162A" w:rsidRDefault="0050162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027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2027A2"/>
    <w:multiLevelType w:val="hybridMultilevel"/>
    <w:tmpl w:val="31A277BA"/>
    <w:lvl w:ilvl="0" w:tplc="976EE664">
      <w:start w:val="1"/>
      <w:numFmt w:val="decimal"/>
      <w:lvlText w:val="%1."/>
      <w:lvlJc w:val="left"/>
      <w:pPr>
        <w:ind w:left="720" w:hanging="360"/>
      </w:pPr>
    </w:lvl>
    <w:lvl w:ilvl="1" w:tplc="3E26816A">
      <w:start w:val="1"/>
      <w:numFmt w:val="lowerLetter"/>
      <w:lvlText w:val="%2."/>
      <w:lvlJc w:val="left"/>
      <w:pPr>
        <w:ind w:left="1440" w:hanging="360"/>
      </w:pPr>
    </w:lvl>
    <w:lvl w:ilvl="2" w:tplc="225463B8">
      <w:start w:val="1"/>
      <w:numFmt w:val="lowerRoman"/>
      <w:lvlText w:val="%3."/>
      <w:lvlJc w:val="right"/>
      <w:pPr>
        <w:ind w:left="2160" w:hanging="180"/>
      </w:pPr>
    </w:lvl>
    <w:lvl w:ilvl="3" w:tplc="21143F4A">
      <w:start w:val="1"/>
      <w:numFmt w:val="decimal"/>
      <w:lvlText w:val="%4."/>
      <w:lvlJc w:val="left"/>
      <w:pPr>
        <w:ind w:left="2880" w:hanging="360"/>
      </w:pPr>
    </w:lvl>
    <w:lvl w:ilvl="4" w:tplc="4E78B816">
      <w:start w:val="1"/>
      <w:numFmt w:val="lowerLetter"/>
      <w:lvlText w:val="%5."/>
      <w:lvlJc w:val="left"/>
      <w:pPr>
        <w:ind w:left="3600" w:hanging="360"/>
      </w:pPr>
    </w:lvl>
    <w:lvl w:ilvl="5" w:tplc="98A8CC42">
      <w:start w:val="1"/>
      <w:numFmt w:val="lowerRoman"/>
      <w:lvlText w:val="%6."/>
      <w:lvlJc w:val="right"/>
      <w:pPr>
        <w:ind w:left="4320" w:hanging="180"/>
      </w:pPr>
    </w:lvl>
    <w:lvl w:ilvl="6" w:tplc="B1C2D0CC">
      <w:start w:val="1"/>
      <w:numFmt w:val="decimal"/>
      <w:lvlText w:val="%7."/>
      <w:lvlJc w:val="left"/>
      <w:pPr>
        <w:ind w:left="5040" w:hanging="360"/>
      </w:pPr>
    </w:lvl>
    <w:lvl w:ilvl="7" w:tplc="D89C7C78">
      <w:start w:val="1"/>
      <w:numFmt w:val="lowerLetter"/>
      <w:lvlText w:val="%8."/>
      <w:lvlJc w:val="left"/>
      <w:pPr>
        <w:ind w:left="5760" w:hanging="360"/>
      </w:pPr>
    </w:lvl>
    <w:lvl w:ilvl="8" w:tplc="7A14D84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9A7"/>
    <w:multiLevelType w:val="hybridMultilevel"/>
    <w:tmpl w:val="A56EEDC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21E3D"/>
    <w:multiLevelType w:val="hybridMultilevel"/>
    <w:tmpl w:val="C6EA89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B62A0"/>
    <w:multiLevelType w:val="hybridMultilevel"/>
    <w:tmpl w:val="8EBEA8C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F5118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F1"/>
    <w:rsid w:val="00004734"/>
    <w:rsid w:val="000151D6"/>
    <w:rsid w:val="0002010B"/>
    <w:rsid w:val="0002478A"/>
    <w:rsid w:val="00032A6F"/>
    <w:rsid w:val="00045BFE"/>
    <w:rsid w:val="000532D8"/>
    <w:rsid w:val="0007005B"/>
    <w:rsid w:val="00071650"/>
    <w:rsid w:val="000902A5"/>
    <w:rsid w:val="00096196"/>
    <w:rsid w:val="000A31F7"/>
    <w:rsid w:val="000A327F"/>
    <w:rsid w:val="000B1AA4"/>
    <w:rsid w:val="000B7FF2"/>
    <w:rsid w:val="000C0A23"/>
    <w:rsid w:val="000C616E"/>
    <w:rsid w:val="000C7F66"/>
    <w:rsid w:val="000E35C4"/>
    <w:rsid w:val="000E7178"/>
    <w:rsid w:val="000E7CB8"/>
    <w:rsid w:val="000F4E5D"/>
    <w:rsid w:val="00107A15"/>
    <w:rsid w:val="00107C6F"/>
    <w:rsid w:val="00113096"/>
    <w:rsid w:val="0011485E"/>
    <w:rsid w:val="00115E88"/>
    <w:rsid w:val="0012515F"/>
    <w:rsid w:val="00127265"/>
    <w:rsid w:val="00131034"/>
    <w:rsid w:val="00155082"/>
    <w:rsid w:val="0015636B"/>
    <w:rsid w:val="0016732A"/>
    <w:rsid w:val="00170418"/>
    <w:rsid w:val="00170A68"/>
    <w:rsid w:val="00174BBA"/>
    <w:rsid w:val="001807BB"/>
    <w:rsid w:val="00194AC9"/>
    <w:rsid w:val="001C1FD4"/>
    <w:rsid w:val="001C6243"/>
    <w:rsid w:val="001D2022"/>
    <w:rsid w:val="001E524E"/>
    <w:rsid w:val="001F139E"/>
    <w:rsid w:val="001F2A50"/>
    <w:rsid w:val="001F4D26"/>
    <w:rsid w:val="00203B2A"/>
    <w:rsid w:val="00211BDF"/>
    <w:rsid w:val="0021678B"/>
    <w:rsid w:val="00220408"/>
    <w:rsid w:val="00223398"/>
    <w:rsid w:val="00235C67"/>
    <w:rsid w:val="002411EB"/>
    <w:rsid w:val="00241F0F"/>
    <w:rsid w:val="00250EAE"/>
    <w:rsid w:val="00264A1B"/>
    <w:rsid w:val="00281E61"/>
    <w:rsid w:val="002A3DB9"/>
    <w:rsid w:val="002A57B0"/>
    <w:rsid w:val="002B78A5"/>
    <w:rsid w:val="002B79AB"/>
    <w:rsid w:val="002C6007"/>
    <w:rsid w:val="002C7322"/>
    <w:rsid w:val="002C7EFA"/>
    <w:rsid w:val="002D1B34"/>
    <w:rsid w:val="002D6C9C"/>
    <w:rsid w:val="002E06B9"/>
    <w:rsid w:val="002F1D95"/>
    <w:rsid w:val="002F3655"/>
    <w:rsid w:val="00302A7B"/>
    <w:rsid w:val="0030345B"/>
    <w:rsid w:val="0030386D"/>
    <w:rsid w:val="00307C41"/>
    <w:rsid w:val="0031180A"/>
    <w:rsid w:val="0032714D"/>
    <w:rsid w:val="00332ADA"/>
    <w:rsid w:val="00336C34"/>
    <w:rsid w:val="003525BF"/>
    <w:rsid w:val="00353F8A"/>
    <w:rsid w:val="003776C4"/>
    <w:rsid w:val="003806E9"/>
    <w:rsid w:val="00387334"/>
    <w:rsid w:val="003B5183"/>
    <w:rsid w:val="003B7823"/>
    <w:rsid w:val="003B7E7C"/>
    <w:rsid w:val="003C118B"/>
    <w:rsid w:val="003C3C77"/>
    <w:rsid w:val="003C779A"/>
    <w:rsid w:val="003D626E"/>
    <w:rsid w:val="003D7423"/>
    <w:rsid w:val="003F3813"/>
    <w:rsid w:val="003F65F9"/>
    <w:rsid w:val="00401068"/>
    <w:rsid w:val="0041190A"/>
    <w:rsid w:val="004141D4"/>
    <w:rsid w:val="00417415"/>
    <w:rsid w:val="00422367"/>
    <w:rsid w:val="004317AA"/>
    <w:rsid w:val="00443688"/>
    <w:rsid w:val="0044490C"/>
    <w:rsid w:val="004450F1"/>
    <w:rsid w:val="00454DC6"/>
    <w:rsid w:val="0046798D"/>
    <w:rsid w:val="00487AA1"/>
    <w:rsid w:val="0049036A"/>
    <w:rsid w:val="00491FC7"/>
    <w:rsid w:val="004A10C8"/>
    <w:rsid w:val="004A3560"/>
    <w:rsid w:val="004A47AC"/>
    <w:rsid w:val="004A556C"/>
    <w:rsid w:val="004A5C99"/>
    <w:rsid w:val="004C2945"/>
    <w:rsid w:val="004C2A52"/>
    <w:rsid w:val="004C532A"/>
    <w:rsid w:val="004C7FAD"/>
    <w:rsid w:val="004D6E70"/>
    <w:rsid w:val="004E118E"/>
    <w:rsid w:val="004E3E29"/>
    <w:rsid w:val="004F2D2C"/>
    <w:rsid w:val="0050162A"/>
    <w:rsid w:val="0051163B"/>
    <w:rsid w:val="00516AB2"/>
    <w:rsid w:val="0053381B"/>
    <w:rsid w:val="00535306"/>
    <w:rsid w:val="005441D3"/>
    <w:rsid w:val="005514C1"/>
    <w:rsid w:val="00562EBD"/>
    <w:rsid w:val="00575D93"/>
    <w:rsid w:val="005766AC"/>
    <w:rsid w:val="00580C15"/>
    <w:rsid w:val="00584A7F"/>
    <w:rsid w:val="005952F2"/>
    <w:rsid w:val="005A43DF"/>
    <w:rsid w:val="005C239F"/>
    <w:rsid w:val="005D075D"/>
    <w:rsid w:val="005D0D43"/>
    <w:rsid w:val="005D2CE1"/>
    <w:rsid w:val="005D37F3"/>
    <w:rsid w:val="005D3D36"/>
    <w:rsid w:val="005E02C1"/>
    <w:rsid w:val="005E5354"/>
    <w:rsid w:val="005F22F8"/>
    <w:rsid w:val="005F7B31"/>
    <w:rsid w:val="00603C50"/>
    <w:rsid w:val="00604D54"/>
    <w:rsid w:val="00612EE7"/>
    <w:rsid w:val="00621B85"/>
    <w:rsid w:val="00625540"/>
    <w:rsid w:val="00631319"/>
    <w:rsid w:val="0063553A"/>
    <w:rsid w:val="00635AE8"/>
    <w:rsid w:val="006362C5"/>
    <w:rsid w:val="00636AB9"/>
    <w:rsid w:val="006468C9"/>
    <w:rsid w:val="00651A69"/>
    <w:rsid w:val="00653CEC"/>
    <w:rsid w:val="006731D1"/>
    <w:rsid w:val="00673D92"/>
    <w:rsid w:val="00677382"/>
    <w:rsid w:val="00690C47"/>
    <w:rsid w:val="00697547"/>
    <w:rsid w:val="006A300C"/>
    <w:rsid w:val="006B546B"/>
    <w:rsid w:val="006B5FBA"/>
    <w:rsid w:val="006B61A7"/>
    <w:rsid w:val="006C3A5A"/>
    <w:rsid w:val="006D0F77"/>
    <w:rsid w:val="006F0D77"/>
    <w:rsid w:val="006F1F5A"/>
    <w:rsid w:val="007214DD"/>
    <w:rsid w:val="00734F16"/>
    <w:rsid w:val="00743E84"/>
    <w:rsid w:val="00754085"/>
    <w:rsid w:val="00776BDB"/>
    <w:rsid w:val="00780319"/>
    <w:rsid w:val="00782D21"/>
    <w:rsid w:val="0078741D"/>
    <w:rsid w:val="00787E9A"/>
    <w:rsid w:val="00790831"/>
    <w:rsid w:val="00795F50"/>
    <w:rsid w:val="007B70F7"/>
    <w:rsid w:val="007D0E24"/>
    <w:rsid w:val="007D75D8"/>
    <w:rsid w:val="007E1FE0"/>
    <w:rsid w:val="007F17EB"/>
    <w:rsid w:val="007F26C1"/>
    <w:rsid w:val="007F3D0E"/>
    <w:rsid w:val="007F6021"/>
    <w:rsid w:val="008104C3"/>
    <w:rsid w:val="008113E1"/>
    <w:rsid w:val="00812E69"/>
    <w:rsid w:val="008276A2"/>
    <w:rsid w:val="00830EEE"/>
    <w:rsid w:val="00831D1C"/>
    <w:rsid w:val="00832BF8"/>
    <w:rsid w:val="00834276"/>
    <w:rsid w:val="00847119"/>
    <w:rsid w:val="00850DA5"/>
    <w:rsid w:val="00853426"/>
    <w:rsid w:val="0086767B"/>
    <w:rsid w:val="0088246B"/>
    <w:rsid w:val="00895307"/>
    <w:rsid w:val="008975CE"/>
    <w:rsid w:val="008A2CDF"/>
    <w:rsid w:val="008A4F9E"/>
    <w:rsid w:val="008B08EE"/>
    <w:rsid w:val="008C06A1"/>
    <w:rsid w:val="008F030C"/>
    <w:rsid w:val="008F7007"/>
    <w:rsid w:val="00903EC7"/>
    <w:rsid w:val="00910834"/>
    <w:rsid w:val="00945BA5"/>
    <w:rsid w:val="00960806"/>
    <w:rsid w:val="009666EC"/>
    <w:rsid w:val="00985680"/>
    <w:rsid w:val="00991DE5"/>
    <w:rsid w:val="009932CF"/>
    <w:rsid w:val="00994F29"/>
    <w:rsid w:val="009A0D79"/>
    <w:rsid w:val="009B0DB5"/>
    <w:rsid w:val="009B380D"/>
    <w:rsid w:val="009E1ED0"/>
    <w:rsid w:val="009E3D3F"/>
    <w:rsid w:val="009E798E"/>
    <w:rsid w:val="009F1149"/>
    <w:rsid w:val="009F180C"/>
    <w:rsid w:val="009F46F5"/>
    <w:rsid w:val="009F578B"/>
    <w:rsid w:val="00A01E5E"/>
    <w:rsid w:val="00A22C2C"/>
    <w:rsid w:val="00A2477A"/>
    <w:rsid w:val="00A31BC3"/>
    <w:rsid w:val="00A4390F"/>
    <w:rsid w:val="00A55911"/>
    <w:rsid w:val="00A841EF"/>
    <w:rsid w:val="00A87D36"/>
    <w:rsid w:val="00A95D9E"/>
    <w:rsid w:val="00AA595B"/>
    <w:rsid w:val="00AB68D9"/>
    <w:rsid w:val="00AC104D"/>
    <w:rsid w:val="00AC7AFA"/>
    <w:rsid w:val="00AC7B59"/>
    <w:rsid w:val="00AD14D3"/>
    <w:rsid w:val="00AE136D"/>
    <w:rsid w:val="00AE18E4"/>
    <w:rsid w:val="00AF1EDD"/>
    <w:rsid w:val="00B02764"/>
    <w:rsid w:val="00B05B91"/>
    <w:rsid w:val="00B06840"/>
    <w:rsid w:val="00B117CC"/>
    <w:rsid w:val="00B12D24"/>
    <w:rsid w:val="00B233DC"/>
    <w:rsid w:val="00B2408A"/>
    <w:rsid w:val="00B31CFA"/>
    <w:rsid w:val="00B409A9"/>
    <w:rsid w:val="00B51E2E"/>
    <w:rsid w:val="00B558C1"/>
    <w:rsid w:val="00B61294"/>
    <w:rsid w:val="00B63F83"/>
    <w:rsid w:val="00B814C3"/>
    <w:rsid w:val="00B976C6"/>
    <w:rsid w:val="00BA51FE"/>
    <w:rsid w:val="00BD1547"/>
    <w:rsid w:val="00BD3E99"/>
    <w:rsid w:val="00BE16D4"/>
    <w:rsid w:val="00BF76B4"/>
    <w:rsid w:val="00C044EC"/>
    <w:rsid w:val="00C105B7"/>
    <w:rsid w:val="00C21413"/>
    <w:rsid w:val="00C22132"/>
    <w:rsid w:val="00C24766"/>
    <w:rsid w:val="00C2476B"/>
    <w:rsid w:val="00C47B67"/>
    <w:rsid w:val="00C56BD4"/>
    <w:rsid w:val="00C60000"/>
    <w:rsid w:val="00C65030"/>
    <w:rsid w:val="00C67ADB"/>
    <w:rsid w:val="00C8401A"/>
    <w:rsid w:val="00C840FC"/>
    <w:rsid w:val="00C86FA7"/>
    <w:rsid w:val="00C97C1D"/>
    <w:rsid w:val="00CB2051"/>
    <w:rsid w:val="00CB3A06"/>
    <w:rsid w:val="00CB3A78"/>
    <w:rsid w:val="00CB7E47"/>
    <w:rsid w:val="00CC448E"/>
    <w:rsid w:val="00CC785C"/>
    <w:rsid w:val="00CD17BC"/>
    <w:rsid w:val="00CD7390"/>
    <w:rsid w:val="00CD7836"/>
    <w:rsid w:val="00CE05A8"/>
    <w:rsid w:val="00CE54BA"/>
    <w:rsid w:val="00CF27E5"/>
    <w:rsid w:val="00CF3806"/>
    <w:rsid w:val="00D01F88"/>
    <w:rsid w:val="00D07F5C"/>
    <w:rsid w:val="00D1178B"/>
    <w:rsid w:val="00D20F7F"/>
    <w:rsid w:val="00D245A1"/>
    <w:rsid w:val="00D25BBB"/>
    <w:rsid w:val="00D371C6"/>
    <w:rsid w:val="00D44D9B"/>
    <w:rsid w:val="00D5363A"/>
    <w:rsid w:val="00D537D4"/>
    <w:rsid w:val="00D572B8"/>
    <w:rsid w:val="00D729F5"/>
    <w:rsid w:val="00D944E1"/>
    <w:rsid w:val="00DA3685"/>
    <w:rsid w:val="00DA75CA"/>
    <w:rsid w:val="00DB0EFA"/>
    <w:rsid w:val="00DB115C"/>
    <w:rsid w:val="00DB2A66"/>
    <w:rsid w:val="00DB3398"/>
    <w:rsid w:val="00DB3DB3"/>
    <w:rsid w:val="00DC27B4"/>
    <w:rsid w:val="00DE3DF8"/>
    <w:rsid w:val="00E11D15"/>
    <w:rsid w:val="00E2008A"/>
    <w:rsid w:val="00E25503"/>
    <w:rsid w:val="00E26309"/>
    <w:rsid w:val="00E30BC4"/>
    <w:rsid w:val="00E3280F"/>
    <w:rsid w:val="00E543A7"/>
    <w:rsid w:val="00E66CF1"/>
    <w:rsid w:val="00E67E63"/>
    <w:rsid w:val="00E719A7"/>
    <w:rsid w:val="00E75F9D"/>
    <w:rsid w:val="00E77323"/>
    <w:rsid w:val="00E869D9"/>
    <w:rsid w:val="00E978F7"/>
    <w:rsid w:val="00EB3790"/>
    <w:rsid w:val="00EC07B9"/>
    <w:rsid w:val="00EC297B"/>
    <w:rsid w:val="00EC60F1"/>
    <w:rsid w:val="00EC767B"/>
    <w:rsid w:val="00ED0784"/>
    <w:rsid w:val="00ED1E8B"/>
    <w:rsid w:val="00ED4461"/>
    <w:rsid w:val="00ED561A"/>
    <w:rsid w:val="00ED71BA"/>
    <w:rsid w:val="00EE43A5"/>
    <w:rsid w:val="00F074D3"/>
    <w:rsid w:val="00F25B0C"/>
    <w:rsid w:val="00F30FFE"/>
    <w:rsid w:val="00F31CCE"/>
    <w:rsid w:val="00F36C2C"/>
    <w:rsid w:val="00F443F5"/>
    <w:rsid w:val="00F46053"/>
    <w:rsid w:val="00F530AE"/>
    <w:rsid w:val="00F61B85"/>
    <w:rsid w:val="00F662F7"/>
    <w:rsid w:val="00F67680"/>
    <w:rsid w:val="00F74D2A"/>
    <w:rsid w:val="00F76C33"/>
    <w:rsid w:val="00F8312E"/>
    <w:rsid w:val="00F8506F"/>
    <w:rsid w:val="00F90621"/>
    <w:rsid w:val="00F91178"/>
    <w:rsid w:val="00F9647D"/>
    <w:rsid w:val="00FA7384"/>
    <w:rsid w:val="00FC1AA1"/>
    <w:rsid w:val="00FC6EF7"/>
    <w:rsid w:val="00FD0D05"/>
    <w:rsid w:val="00FD1BBB"/>
    <w:rsid w:val="00FD6C7C"/>
    <w:rsid w:val="00FE0B38"/>
    <w:rsid w:val="00FE0C46"/>
    <w:rsid w:val="00FE14E8"/>
    <w:rsid w:val="00FE2CB5"/>
    <w:rsid w:val="00FE4232"/>
    <w:rsid w:val="00FE5CFE"/>
    <w:rsid w:val="00FF1B26"/>
    <w:rsid w:val="00FF568C"/>
    <w:rsid w:val="2571FFA8"/>
    <w:rsid w:val="2659EA35"/>
    <w:rsid w:val="52526710"/>
    <w:rsid w:val="56B5BA5E"/>
    <w:rsid w:val="59E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556D70"/>
  <w15:chartTrackingRefBased/>
  <w15:docId w15:val="{9B136B07-722E-44C8-9EE1-37A3573A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ella,List Paragraph (numbered (a)),Bullet Styles para,List1,Numbered Indented Text,List Paragraph Char Char Char,List Paragraph Char Char,Bullet 1,lp1,List Paragraph11,roel,Lista bullets 1,BULLETS,Annexlist,Bullet"/>
    <w:basedOn w:val="Normal"/>
    <w:link w:val="ListParagraphChar"/>
    <w:uiPriority w:val="34"/>
    <w:qFormat/>
    <w:rsid w:val="00F46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3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7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3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38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E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60000"/>
    <w:pPr>
      <w:spacing w:after="0" w:line="240" w:lineRule="auto"/>
    </w:pPr>
  </w:style>
  <w:style w:type="character" w:customStyle="1" w:styleId="ListParagraphChar">
    <w:name w:val="List Paragraph Char"/>
    <w:aliases w:val="Tabella Char,List Paragraph (numbered (a)) Char,Bullet Styles para Char,List1 Char,Numbered Indented Text Char,List Paragraph Char Char Char Char,List Paragraph Char Char Char1,Bullet 1 Char,lp1 Char,List Paragraph11 Char,roel Char"/>
    <w:basedOn w:val="DefaultParagraphFont"/>
    <w:link w:val="ListParagraph"/>
    <w:uiPriority w:val="34"/>
    <w:rsid w:val="00DE3DF8"/>
  </w:style>
  <w:style w:type="character" w:styleId="PlaceholderText">
    <w:name w:val="Placeholder Text"/>
    <w:basedOn w:val="DefaultParagraphFont"/>
    <w:uiPriority w:val="99"/>
    <w:semiHidden/>
    <w:rsid w:val="00C044EC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2411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11EB"/>
  </w:style>
  <w:style w:type="paragraph" w:styleId="Footer">
    <w:name w:val="footer"/>
    <w:basedOn w:val="Normal"/>
    <w:link w:val="FooterChar"/>
    <w:uiPriority w:val="99"/>
    <w:semiHidden/>
    <w:unhideWhenUsed/>
    <w:rsid w:val="002411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11EB"/>
  </w:style>
  <w:style w:type="paragraph" w:customStyle="1" w:styleId="Default">
    <w:name w:val="Default"/>
    <w:rsid w:val="00445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1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82490130AC04232B76B331ACD3A4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0F963-1D8D-4466-842E-94ADEC07DAC2}"/>
      </w:docPartPr>
      <w:docPartBody>
        <w:p w:rsidR="00C428BD" w:rsidRDefault="00C428B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E0"/>
    <w:rsid w:val="00073D89"/>
    <w:rsid w:val="004116D9"/>
    <w:rsid w:val="00627D46"/>
    <w:rsid w:val="00925725"/>
    <w:rsid w:val="009E0638"/>
    <w:rsid w:val="00BA67B8"/>
    <w:rsid w:val="00C428BD"/>
    <w:rsid w:val="00C45BE0"/>
    <w:rsid w:val="00CC1431"/>
    <w:rsid w:val="00F8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561b39-6287-413d-bb11-5ba8452865e0">
      <Terms xmlns="http://schemas.microsoft.com/office/infopath/2007/PartnerControls"/>
    </lcf76f155ced4ddcb4097134ff3c332f>
    <TaxCatchAll xmlns="b951356f-a2c2-453e-b255-94bd61ec93c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E201C7D0845544F8C28EB54ED8B0473" ma:contentTypeVersion="14" ma:contentTypeDescription="Izveidot jaunu dokumentu." ma:contentTypeScope="" ma:versionID="8b2aa37b74b36f799d625e408dbe825d">
  <xsd:schema xmlns:xsd="http://www.w3.org/2001/XMLSchema" xmlns:xs="http://www.w3.org/2001/XMLSchema" xmlns:p="http://schemas.microsoft.com/office/2006/metadata/properties" xmlns:ns2="ce561b39-6287-413d-bb11-5ba8452865e0" xmlns:ns3="b951356f-a2c2-453e-b255-94bd61ec93c2" targetNamespace="http://schemas.microsoft.com/office/2006/metadata/properties" ma:root="true" ma:fieldsID="3c3cc394b3e9315b55b7de09b48913f6" ns2:_="" ns3:_="">
    <xsd:import namespace="ce561b39-6287-413d-bb11-5ba8452865e0"/>
    <xsd:import namespace="b951356f-a2c2-453e-b255-94bd61ec93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61b39-6287-413d-bb11-5ba845286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efae4fc5-7107-41ff-8160-ae390e9399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56f-a2c2-453e-b255-94bd61ec93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9d724f7-014b-448f-9252-af4e3db09720}" ma:internalName="TaxCatchAll" ma:showField="CatchAllData" ma:web="b951356f-a2c2-453e-b255-94bd61ec93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1BE130-7499-4B9D-82C8-1CE64F91C096}">
  <ds:schemaRefs>
    <ds:schemaRef ds:uri="ce561b39-6287-413d-bb11-5ba8452865e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b951356f-a2c2-453e-b255-94bd61ec93c2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A52CA0-B8CE-47AC-B09C-0700989CD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61b39-6287-413d-bb11-5ba8452865e0"/>
    <ds:schemaRef ds:uri="b951356f-a2c2-453e-b255-94bd61ec9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8E584D-82A6-4BD1-A703-9C5625E56D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3854</Words>
  <Characters>2197</Characters>
  <Application>Microsoft Office Word</Application>
  <DocSecurity>0</DocSecurity>
  <Lines>18</Lines>
  <Paragraphs>12</Paragraphs>
  <ScaleCrop>false</ScaleCrop>
  <Company>AST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Āboliņa</dc:creator>
  <cp:keywords/>
  <dc:description/>
  <cp:lastModifiedBy>Jolanta Graudone</cp:lastModifiedBy>
  <cp:revision>100</cp:revision>
  <cp:lastPrinted>2020-07-02T08:01:00Z</cp:lastPrinted>
  <dcterms:created xsi:type="dcterms:W3CDTF">2022-07-27T10:52:00Z</dcterms:created>
  <dcterms:modified xsi:type="dcterms:W3CDTF">2022-10-05T10:24:00Z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2021-01-08T08:16:46Z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53caf485-03f8-430f-9b9c-95f5270ba89f</vt:lpwstr>
  </property>
  <property fmtid="{D5CDD505-2E9C-101B-9397-08002B2CF9AE}" pid="8" name="MSIP_Label_66cffd26-8a8e-4271-ae8c-0448cc98c6fa_ContentBits">
    <vt:lpwstr>0</vt:lpwstr>
  </property>
  <property fmtid="{D5CDD505-2E9C-101B-9397-08002B2CF9AE}" pid="9" name="ContentTypeId">
    <vt:lpwstr>0x0101007E201C7D0845544F8C28EB54ED8B0473</vt:lpwstr>
  </property>
  <property fmtid="{D5CDD505-2E9C-101B-9397-08002B2CF9AE}" pid="10" name="MediaServiceImageTags">
    <vt:lpwstr/>
  </property>
</Properties>
</file>